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792"/>
        <w:gridCol w:w="3057"/>
      </w:tblGrid>
      <w:tr w:rsidR="00F64DF2" w14:paraId="764A4DB2" w14:textId="77777777" w:rsidTr="00F64DF2">
        <w:trPr>
          <w:cantSplit/>
        </w:trPr>
        <w:tc>
          <w:tcPr>
            <w:tcW w:w="1462" w:type="dxa"/>
          </w:tcPr>
          <w:p w14:paraId="01D7C71F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991" w:type="dxa"/>
          </w:tcPr>
          <w:p w14:paraId="4DFEAC5B" w14:textId="45F0F491" w:rsidR="00F64DF2" w:rsidRDefault="00DD2D8C" w:rsidP="002149D1">
            <w:r w:rsidRPr="00DD2D8C">
              <w:rPr>
                <w:lang w:eastAsia="en-US"/>
              </w:rPr>
              <w:t>Centre Committee workplan for 201</w:t>
            </w:r>
            <w:r w:rsidR="00CF349A">
              <w:rPr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3063" w:type="dxa"/>
            <w:vMerge w:val="restart"/>
          </w:tcPr>
          <w:p w14:paraId="3E26EC76" w14:textId="77777777" w:rsidR="00F64DF2" w:rsidRDefault="00F64DF2" w:rsidP="006F572F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5210FA01" wp14:editId="7053E8D4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F2" w14:paraId="75AD0186" w14:textId="77777777" w:rsidTr="00F64DF2">
        <w:trPr>
          <w:cantSplit/>
        </w:trPr>
        <w:tc>
          <w:tcPr>
            <w:tcW w:w="1462" w:type="dxa"/>
          </w:tcPr>
          <w:p w14:paraId="1B9395E9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991" w:type="dxa"/>
          </w:tcPr>
          <w:p w14:paraId="07EAC305" w14:textId="5F9ADAF7" w:rsidR="00F64DF2" w:rsidRDefault="00787EA3" w:rsidP="002149D1">
            <w:r>
              <w:t>1</w:t>
            </w:r>
          </w:p>
        </w:tc>
        <w:tc>
          <w:tcPr>
            <w:tcW w:w="3063" w:type="dxa"/>
            <w:vMerge/>
          </w:tcPr>
          <w:p w14:paraId="54485335" w14:textId="77777777" w:rsidR="00F64DF2" w:rsidRDefault="00F64DF2" w:rsidP="006F572F">
            <w:pPr>
              <w:jc w:val="both"/>
            </w:pPr>
          </w:p>
        </w:tc>
      </w:tr>
      <w:tr w:rsidR="00F64DF2" w14:paraId="2C5AEA4E" w14:textId="77777777" w:rsidTr="00F64DF2">
        <w:trPr>
          <w:cantSplit/>
        </w:trPr>
        <w:tc>
          <w:tcPr>
            <w:tcW w:w="1462" w:type="dxa"/>
          </w:tcPr>
          <w:p w14:paraId="092079C1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3991" w:type="dxa"/>
          </w:tcPr>
          <w:p w14:paraId="3DEB8F32" w14:textId="77777777" w:rsidR="00A569E2" w:rsidRDefault="00A569E2" w:rsidP="00F53704">
            <w:r>
              <w:t>Dieter Van Uytvanck</w:t>
            </w:r>
          </w:p>
        </w:tc>
        <w:tc>
          <w:tcPr>
            <w:tcW w:w="3063" w:type="dxa"/>
            <w:vMerge/>
          </w:tcPr>
          <w:p w14:paraId="10E13FD8" w14:textId="77777777" w:rsidR="00F64DF2" w:rsidRDefault="00F64DF2" w:rsidP="006F572F">
            <w:pPr>
              <w:jc w:val="both"/>
            </w:pPr>
          </w:p>
        </w:tc>
      </w:tr>
      <w:tr w:rsidR="00F64DF2" w14:paraId="092C2FE0" w14:textId="77777777" w:rsidTr="00F64DF2">
        <w:trPr>
          <w:cantSplit/>
        </w:trPr>
        <w:tc>
          <w:tcPr>
            <w:tcW w:w="1462" w:type="dxa"/>
          </w:tcPr>
          <w:p w14:paraId="36DB8BF3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91" w:type="dxa"/>
          </w:tcPr>
          <w:p w14:paraId="1F94CC69" w14:textId="13CC070A" w:rsidR="00F64DF2" w:rsidRDefault="00FB2747" w:rsidP="002149D1">
            <w:r>
              <w:t>2018-</w:t>
            </w:r>
            <w:r w:rsidR="00837E89">
              <w:t>10-01</w:t>
            </w:r>
          </w:p>
        </w:tc>
        <w:tc>
          <w:tcPr>
            <w:tcW w:w="3063" w:type="dxa"/>
            <w:vMerge/>
          </w:tcPr>
          <w:p w14:paraId="2A729789" w14:textId="77777777" w:rsidR="00F64DF2" w:rsidRDefault="00F64DF2" w:rsidP="006F572F">
            <w:pPr>
              <w:jc w:val="both"/>
            </w:pPr>
          </w:p>
        </w:tc>
      </w:tr>
      <w:tr w:rsidR="00F64DF2" w14:paraId="04886934" w14:textId="77777777" w:rsidTr="00F64DF2">
        <w:trPr>
          <w:cantSplit/>
        </w:trPr>
        <w:tc>
          <w:tcPr>
            <w:tcW w:w="1462" w:type="dxa"/>
          </w:tcPr>
          <w:p w14:paraId="7F355453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991" w:type="dxa"/>
          </w:tcPr>
          <w:p w14:paraId="3BF0FDF2" w14:textId="1C48F339" w:rsidR="00F64DF2" w:rsidRDefault="00FB2747" w:rsidP="00F53704">
            <w:r>
              <w:t>For discussion</w:t>
            </w:r>
          </w:p>
        </w:tc>
        <w:tc>
          <w:tcPr>
            <w:tcW w:w="3063" w:type="dxa"/>
            <w:vMerge/>
          </w:tcPr>
          <w:p w14:paraId="274B0841" w14:textId="77777777" w:rsidR="00F64DF2" w:rsidRDefault="00F64DF2" w:rsidP="006F572F">
            <w:pPr>
              <w:jc w:val="both"/>
            </w:pPr>
          </w:p>
        </w:tc>
      </w:tr>
      <w:tr w:rsidR="00F64DF2" w14:paraId="16F23A2E" w14:textId="77777777" w:rsidTr="00F64DF2">
        <w:trPr>
          <w:cantSplit/>
        </w:trPr>
        <w:tc>
          <w:tcPr>
            <w:tcW w:w="1462" w:type="dxa"/>
          </w:tcPr>
          <w:p w14:paraId="00389D3A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3991" w:type="dxa"/>
          </w:tcPr>
          <w:p w14:paraId="16F4696E" w14:textId="3525A1AE" w:rsidR="00F64DF2" w:rsidRDefault="00670465" w:rsidP="00F53704">
            <w:r>
              <w:t>SCCTC</w:t>
            </w:r>
          </w:p>
        </w:tc>
        <w:tc>
          <w:tcPr>
            <w:tcW w:w="3063" w:type="dxa"/>
            <w:vMerge/>
          </w:tcPr>
          <w:p w14:paraId="397D4CA5" w14:textId="77777777" w:rsidR="00F64DF2" w:rsidRDefault="00F64DF2" w:rsidP="006F572F">
            <w:pPr>
              <w:jc w:val="both"/>
            </w:pPr>
          </w:p>
        </w:tc>
      </w:tr>
      <w:tr w:rsidR="00F64DF2" w14:paraId="62C6977A" w14:textId="77777777" w:rsidTr="00F64DF2">
        <w:trPr>
          <w:cantSplit/>
        </w:trPr>
        <w:tc>
          <w:tcPr>
            <w:tcW w:w="1462" w:type="dxa"/>
            <w:tcBorders>
              <w:bottom w:val="single" w:sz="4" w:space="0" w:color="auto"/>
            </w:tcBorders>
          </w:tcPr>
          <w:p w14:paraId="65AEB367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7A255533" w14:textId="7F456759" w:rsidR="00F64DF2" w:rsidRDefault="00EA6820" w:rsidP="00CA3E2A">
            <w:r w:rsidRPr="00EA6820">
              <w:t>CE-</w:t>
            </w:r>
            <w:r w:rsidR="00787EA3">
              <w:t>2018-1305</w:t>
            </w: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14:paraId="05427D1E" w14:textId="77777777" w:rsidR="00F64DF2" w:rsidRDefault="00F64DF2" w:rsidP="006F572F">
            <w:pPr>
              <w:jc w:val="both"/>
            </w:pPr>
          </w:p>
        </w:tc>
      </w:tr>
    </w:tbl>
    <w:p w14:paraId="2C6C7479" w14:textId="6C99D278" w:rsidR="00134FAD" w:rsidRDefault="00670465" w:rsidP="00134FAD">
      <w:pPr>
        <w:pStyle w:val="Heading1"/>
      </w:pPr>
      <w:r>
        <w:t xml:space="preserve">Central infrastructure </w:t>
      </w:r>
      <w:r w:rsidR="003C582D">
        <w:t>activities</w:t>
      </w:r>
    </w:p>
    <w:p w14:paraId="099CD346" w14:textId="71FEC353" w:rsidR="00134FAD" w:rsidRDefault="00134FAD" w:rsidP="00134FAD">
      <w:pPr>
        <w:ind w:left="1440" w:hanging="1440"/>
      </w:pPr>
      <w:r w:rsidRPr="00304F7F">
        <w:rPr>
          <w:b/>
        </w:rPr>
        <w:t>What:</w:t>
      </w:r>
      <w:r>
        <w:t xml:space="preserve"> </w:t>
      </w:r>
      <w:r>
        <w:tab/>
        <w:t>Tasks pertaining to the central infrastructure components</w:t>
      </w:r>
    </w:p>
    <w:p w14:paraId="57BD0605" w14:textId="4A59D826" w:rsidR="00134FAD" w:rsidRPr="00134FAD" w:rsidRDefault="00134FAD" w:rsidP="00134FAD">
      <w:r w:rsidRPr="00304F7F">
        <w:rPr>
          <w:b/>
        </w:rPr>
        <w:t>Who:</w:t>
      </w:r>
      <w:r>
        <w:t xml:space="preserve"> </w:t>
      </w:r>
      <w:r>
        <w:tab/>
      </w:r>
      <w:r>
        <w:tab/>
        <w:t>Mostly the central developers team (André, Menzo, Twan, Willem)</w:t>
      </w:r>
    </w:p>
    <w:p w14:paraId="35829558" w14:textId="77777777" w:rsidR="00670465" w:rsidRDefault="00670465" w:rsidP="007247CA"/>
    <w:p w14:paraId="5A339148" w14:textId="77777777" w:rsidR="007247CA" w:rsidRDefault="007247CA" w:rsidP="007247CA">
      <w:r>
        <w:t>Miscellaneous suggestions:</w:t>
      </w:r>
    </w:p>
    <w:p w14:paraId="07595A71" w14:textId="77777777" w:rsidR="007247CA" w:rsidRDefault="007247CA" w:rsidP="007247CA">
      <w:pPr>
        <w:pStyle w:val="ListParagraph"/>
        <w:numPr>
          <w:ilvl w:val="0"/>
          <w:numId w:val="25"/>
        </w:numPr>
      </w:pPr>
      <w:r>
        <w:t>Centre registry:</w:t>
      </w:r>
    </w:p>
    <w:p w14:paraId="3D625287" w14:textId="77777777" w:rsidR="007247CA" w:rsidRDefault="007247CA" w:rsidP="007247CA">
      <w:pPr>
        <w:pStyle w:val="ListParagraph"/>
        <w:numPr>
          <w:ilvl w:val="1"/>
          <w:numId w:val="25"/>
        </w:numPr>
      </w:pPr>
      <w:r>
        <w:t xml:space="preserve">Migrating the part for human consumption (centre list, maps, contact persons) to </w:t>
      </w:r>
      <w:hyperlink r:id="rId8" w:history="1">
        <w:r w:rsidRPr="004642BA">
          <w:rPr>
            <w:rStyle w:val="Hyperlink"/>
          </w:rPr>
          <w:t>www.clarin.eu</w:t>
        </w:r>
      </w:hyperlink>
      <w:r>
        <w:t xml:space="preserve"> – keep focus on API-based access</w:t>
      </w:r>
    </w:p>
    <w:p w14:paraId="52FBF766" w14:textId="77777777" w:rsidR="007247CA" w:rsidRDefault="007247CA" w:rsidP="007247CA">
      <w:pPr>
        <w:pStyle w:val="ListParagraph"/>
        <w:numPr>
          <w:ilvl w:val="0"/>
          <w:numId w:val="25"/>
        </w:numPr>
      </w:pPr>
      <w:r>
        <w:t>AAI:</w:t>
      </w:r>
    </w:p>
    <w:p w14:paraId="274EDAC0" w14:textId="131F2DE5" w:rsidR="007247CA" w:rsidRDefault="00AA45D4" w:rsidP="007247CA">
      <w:pPr>
        <w:pStyle w:val="ListParagraph"/>
        <w:numPr>
          <w:ilvl w:val="1"/>
          <w:numId w:val="25"/>
        </w:numPr>
      </w:pPr>
      <w:r>
        <w:t>Merge the CLARIN-PLUS code changes into the main UnityIDM branch, upgrade the CLARIN Identity Provider to the newest version</w:t>
      </w:r>
    </w:p>
    <w:p w14:paraId="0F98E116" w14:textId="15778280" w:rsidR="00670465" w:rsidRDefault="00670465" w:rsidP="00670465">
      <w:pPr>
        <w:pStyle w:val="Heading1"/>
      </w:pPr>
      <w:r>
        <w:t xml:space="preserve">Documentation and communication </w:t>
      </w:r>
      <w:r w:rsidR="00134FAD">
        <w:t>activities</w:t>
      </w:r>
    </w:p>
    <w:p w14:paraId="0F63312D" w14:textId="77777777" w:rsidR="00134FAD" w:rsidRDefault="00134FAD" w:rsidP="00134FAD">
      <w:pPr>
        <w:ind w:left="1440" w:hanging="1440"/>
      </w:pPr>
      <w:r w:rsidRPr="00304F7F">
        <w:rPr>
          <w:b/>
        </w:rPr>
        <w:t>What:</w:t>
      </w:r>
      <w:r>
        <w:t xml:space="preserve"> </w:t>
      </w:r>
      <w:r>
        <w:tab/>
        <w:t xml:space="preserve">Tasks pertaining to the central infrastructure components </w:t>
      </w:r>
    </w:p>
    <w:p w14:paraId="0968AA8A" w14:textId="15C0BED8" w:rsidR="00134FAD" w:rsidRPr="00134FAD" w:rsidRDefault="00134FAD" w:rsidP="00134FAD">
      <w:r w:rsidRPr="00304F7F">
        <w:rPr>
          <w:b/>
        </w:rPr>
        <w:t>Who:</w:t>
      </w:r>
      <w:r>
        <w:t xml:space="preserve"> </w:t>
      </w:r>
      <w:r>
        <w:tab/>
      </w:r>
      <w:r>
        <w:tab/>
        <w:t>Topic experts, central developers</w:t>
      </w:r>
    </w:p>
    <w:p w14:paraId="5744682B" w14:textId="6C222324" w:rsidR="00304F7F" w:rsidRDefault="00304F7F" w:rsidP="00304F7F">
      <w:pPr>
        <w:pStyle w:val="Heading2"/>
      </w:pPr>
      <w:r>
        <w:t>Update documentation</w:t>
      </w:r>
    </w:p>
    <w:p w14:paraId="7C879A27" w14:textId="2A385C0C" w:rsidR="00670465" w:rsidRDefault="00670465" w:rsidP="00304F7F">
      <w:r>
        <w:t>Update documentation on key items like:</w:t>
      </w:r>
    </w:p>
    <w:p w14:paraId="4D424FF0" w14:textId="0AD15FFF" w:rsidR="006F1C5A" w:rsidRDefault="00670465" w:rsidP="00304F7F">
      <w:pPr>
        <w:pStyle w:val="ListParagraph"/>
        <w:numPr>
          <w:ilvl w:val="0"/>
          <w:numId w:val="32"/>
        </w:numPr>
      </w:pPr>
      <w:r>
        <w:t>Centre Types</w:t>
      </w:r>
    </w:p>
    <w:p w14:paraId="768FEF04" w14:textId="1D5C70B6" w:rsidR="00670465" w:rsidRDefault="00670465" w:rsidP="00304F7F">
      <w:pPr>
        <w:pStyle w:val="ListParagraph"/>
        <w:numPr>
          <w:ilvl w:val="0"/>
          <w:numId w:val="32"/>
        </w:numPr>
      </w:pPr>
      <w:r>
        <w:t>Assessment procedure</w:t>
      </w:r>
    </w:p>
    <w:p w14:paraId="6193A845" w14:textId="7DEA1F4F" w:rsidR="00304F7F" w:rsidRDefault="00304F7F" w:rsidP="00304F7F">
      <w:pPr>
        <w:pStyle w:val="ListParagraph"/>
        <w:numPr>
          <w:ilvl w:val="0"/>
          <w:numId w:val="32"/>
        </w:numPr>
      </w:pPr>
      <w:r>
        <w:t>Specific topics, like PIDs (A4-guides)</w:t>
      </w:r>
    </w:p>
    <w:p w14:paraId="43B6BBE3" w14:textId="51CFA43E" w:rsidR="00286F1C" w:rsidRDefault="00286F1C" w:rsidP="00304F7F">
      <w:pPr>
        <w:pStyle w:val="ListParagraph"/>
        <w:numPr>
          <w:ilvl w:val="0"/>
          <w:numId w:val="32"/>
        </w:numPr>
      </w:pPr>
      <w:r>
        <w:t>Metadata best practices</w:t>
      </w:r>
    </w:p>
    <w:p w14:paraId="78AB5693" w14:textId="1CB4E8FD" w:rsidR="00304F7F" w:rsidRDefault="00304F7F" w:rsidP="00134FAD">
      <w:pPr>
        <w:pStyle w:val="Heading2"/>
      </w:pPr>
      <w:bookmarkStart w:id="1" w:name="_Ref500408025"/>
      <w:r>
        <w:t>Integration documentation</w:t>
      </w:r>
      <w:bookmarkEnd w:id="1"/>
    </w:p>
    <w:p w14:paraId="207D2B9D" w14:textId="652DC3D7" w:rsidR="00670465" w:rsidRDefault="00304F7F" w:rsidP="00670465">
      <w:r>
        <w:t>Create a specific and short guide on how to integrate data and services with the CLARIN infrastructure. Target audience: outsiders and (new) consortia at the stage of project planning.</w:t>
      </w:r>
    </w:p>
    <w:p w14:paraId="2089B6A0" w14:textId="755B1C8A" w:rsidR="00981940" w:rsidRDefault="00981940" w:rsidP="00981940">
      <w:pPr>
        <w:pStyle w:val="Heading1"/>
      </w:pPr>
      <w:r>
        <w:t>Streamlining the centre assessments</w:t>
      </w:r>
    </w:p>
    <w:p w14:paraId="6C09F473" w14:textId="4D2749A2" w:rsidR="00981940" w:rsidRDefault="00981940" w:rsidP="00981940">
      <w:r>
        <w:t>Experience from the last year has proven that the current B-centre assessment workflow can be optimized as to:</w:t>
      </w:r>
    </w:p>
    <w:p w14:paraId="7740A311" w14:textId="77777777" w:rsidR="00981940" w:rsidRDefault="00981940" w:rsidP="00981940"/>
    <w:p w14:paraId="0064564B" w14:textId="2A7DBE78" w:rsidR="00981940" w:rsidRDefault="00981940" w:rsidP="00981940">
      <w:pPr>
        <w:pStyle w:val="ListParagraph"/>
        <w:numPr>
          <w:ilvl w:val="0"/>
          <w:numId w:val="33"/>
        </w:numPr>
      </w:pPr>
      <w:r>
        <w:t>Provide faster feedback to candidate centres.</w:t>
      </w:r>
    </w:p>
    <w:p w14:paraId="0259E15C" w14:textId="58B17260" w:rsidR="00981940" w:rsidRDefault="00981940" w:rsidP="00981940">
      <w:pPr>
        <w:pStyle w:val="ListParagraph"/>
        <w:numPr>
          <w:ilvl w:val="0"/>
          <w:numId w:val="33"/>
        </w:numPr>
      </w:pPr>
      <w:r>
        <w:t>Lower the efforts required from the assessment committee, especially in the area of checking whether a centre is technically compliant to certain requirements (e.g. federated login).</w:t>
      </w:r>
    </w:p>
    <w:p w14:paraId="23DAD778" w14:textId="16E765AC" w:rsidR="00981940" w:rsidRDefault="00981940" w:rsidP="00981940">
      <w:pPr>
        <w:pStyle w:val="ListParagraph"/>
        <w:numPr>
          <w:ilvl w:val="0"/>
          <w:numId w:val="33"/>
        </w:numPr>
      </w:pPr>
      <w:r>
        <w:t>Ensure that only mature application requests are considered, both for the CLARIN and the CoreTrustSeal procedure.</w:t>
      </w:r>
    </w:p>
    <w:p w14:paraId="6A4EDDEB" w14:textId="624A88CC" w:rsidR="00981940" w:rsidRDefault="00981940" w:rsidP="00981940">
      <w:pPr>
        <w:pStyle w:val="Heading1"/>
        <w:rPr>
          <w:lang w:val="en-US"/>
        </w:rPr>
      </w:pPr>
      <w:r>
        <w:rPr>
          <w:lang w:val="en-US"/>
        </w:rPr>
        <w:lastRenderedPageBreak/>
        <w:t>Quality control &amp; awareness</w:t>
      </w:r>
    </w:p>
    <w:p w14:paraId="175B76B2" w14:textId="0DD3007F" w:rsidR="00092CD3" w:rsidRDefault="00092CD3" w:rsidP="00981940">
      <w:pPr>
        <w:rPr>
          <w:lang w:val="en-US"/>
        </w:rPr>
      </w:pPr>
      <w:r>
        <w:rPr>
          <w:lang w:val="en-US"/>
        </w:rPr>
        <w:t xml:space="preserve">Organize an </w:t>
      </w:r>
      <w:r w:rsidR="00981940" w:rsidRPr="00981940">
        <w:rPr>
          <w:lang w:val="en-US"/>
        </w:rPr>
        <w:t>overall awareness campaign on quality, reliability and usability</w:t>
      </w:r>
      <w:r>
        <w:rPr>
          <w:lang w:val="en-US"/>
        </w:rPr>
        <w:t xml:space="preserve">. This </w:t>
      </w:r>
      <w:r w:rsidR="00981940" w:rsidRPr="00981940">
        <w:rPr>
          <w:lang w:val="en-US"/>
        </w:rPr>
        <w:t xml:space="preserve">both for </w:t>
      </w:r>
      <w:r>
        <w:rPr>
          <w:lang w:val="en-US"/>
        </w:rPr>
        <w:t>infrastructure components provided centrally</w:t>
      </w:r>
      <w:r w:rsidR="00981940" w:rsidRPr="00981940">
        <w:rPr>
          <w:lang w:val="en-US"/>
        </w:rPr>
        <w:t xml:space="preserve"> and </w:t>
      </w:r>
      <w:r>
        <w:rPr>
          <w:lang w:val="en-US"/>
        </w:rPr>
        <w:t>by the centres. Examples of topics to be addressed: downtimes, error messages, consistent styling, end-user support, best practices during the software development process, interoperability.</w:t>
      </w:r>
    </w:p>
    <w:p w14:paraId="642A84F3" w14:textId="72C6CB7F" w:rsidR="00981940" w:rsidRDefault="00981940" w:rsidP="00981940"/>
    <w:p w14:paraId="24033663" w14:textId="4FF608C7" w:rsidR="00092CD3" w:rsidRPr="00092CD3" w:rsidRDefault="00092CD3" w:rsidP="00981940">
      <w:pPr>
        <w:rPr>
          <w:i/>
        </w:rPr>
      </w:pPr>
      <w:r w:rsidRPr="00092CD3">
        <w:rPr>
          <w:i/>
        </w:rPr>
        <w:t xml:space="preserve">Note that this action line is also </w:t>
      </w:r>
      <w:r>
        <w:rPr>
          <w:i/>
        </w:rPr>
        <w:t>part of</w:t>
      </w:r>
      <w:r w:rsidRPr="00092CD3">
        <w:rPr>
          <w:i/>
        </w:rPr>
        <w:t xml:space="preserve"> the NCF workplan for 2019.</w:t>
      </w:r>
    </w:p>
    <w:p w14:paraId="4708D334" w14:textId="27BEFCCD" w:rsidR="00D53CED" w:rsidRDefault="00670465" w:rsidP="00D53CED">
      <w:pPr>
        <w:pStyle w:val="Heading1"/>
      </w:pPr>
      <w:r>
        <w:t xml:space="preserve">Other </w:t>
      </w:r>
      <w:r w:rsidR="00F3658D">
        <w:t>activities</w:t>
      </w:r>
    </w:p>
    <w:p w14:paraId="77C61BE2" w14:textId="09716A76" w:rsidR="00564DAF" w:rsidRPr="00564DAF" w:rsidRDefault="00564DAF" w:rsidP="00564DAF">
      <w:r>
        <w:t>Additional suggestions for this section are warmly welcomed.</w:t>
      </w:r>
    </w:p>
    <w:p w14:paraId="389B51F3" w14:textId="75CD4F20" w:rsidR="00D53CED" w:rsidRDefault="00F3658D" w:rsidP="00D53CED">
      <w:pPr>
        <w:pStyle w:val="Heading2"/>
      </w:pPr>
      <w:r>
        <w:t>Workspaces and u</w:t>
      </w:r>
      <w:r w:rsidR="00670465">
        <w:t>ser delegation</w:t>
      </w:r>
    </w:p>
    <w:p w14:paraId="5FCCA1BE" w14:textId="709B9830" w:rsidR="00564DAF" w:rsidRDefault="00564DAF" w:rsidP="00564DAF">
      <w:pPr>
        <w:ind w:left="1440" w:hanging="1440"/>
      </w:pPr>
      <w:r w:rsidRPr="00564DAF">
        <w:rPr>
          <w:b/>
        </w:rPr>
        <w:t>What:</w:t>
      </w:r>
      <w:r>
        <w:t xml:space="preserve"> </w:t>
      </w:r>
      <w:r>
        <w:tab/>
        <w:t xml:space="preserve">Evaluate a NextCloud-based </w:t>
      </w:r>
      <w:r w:rsidR="00434599">
        <w:t xml:space="preserve">and UnityIDM-based </w:t>
      </w:r>
      <w:r>
        <w:t>solution for personal workspaces and user delegation (</w:t>
      </w:r>
      <w:hyperlink r:id="rId9" w:history="1">
        <w:r w:rsidR="00947CFD">
          <w:rPr>
            <w:rStyle w:val="Hyperlink"/>
          </w:rPr>
          <w:t>https://www.clarin.eu/content/user-delegation</w:t>
        </w:r>
      </w:hyperlink>
      <w:r w:rsidR="00947CFD">
        <w:t>)</w:t>
      </w:r>
    </w:p>
    <w:p w14:paraId="3CF4A35E" w14:textId="625F2973" w:rsidR="00670465" w:rsidRDefault="00564DAF" w:rsidP="00564DAF">
      <w:pPr>
        <w:ind w:left="1440" w:hanging="1440"/>
      </w:pPr>
      <w:r>
        <w:rPr>
          <w:b/>
        </w:rPr>
        <w:t>Who:</w:t>
      </w:r>
      <w:r>
        <w:rPr>
          <w:b/>
        </w:rPr>
        <w:tab/>
      </w:r>
      <w:r w:rsidR="00670465">
        <w:t>Menzo, Dirk, Marcin</w:t>
      </w:r>
    </w:p>
    <w:p w14:paraId="5705669F" w14:textId="5268DA05" w:rsidR="00D53CED" w:rsidRDefault="00670465" w:rsidP="00D53CED">
      <w:pPr>
        <w:pStyle w:val="Heading2"/>
      </w:pPr>
      <w:r w:rsidRPr="00D53CED">
        <w:t xml:space="preserve">Federated Content Search: </w:t>
      </w:r>
      <w:r w:rsidR="00F3658D">
        <w:t>stimulate</w:t>
      </w:r>
      <w:r w:rsidR="00564DAF">
        <w:t xml:space="preserve"> uptake</w:t>
      </w:r>
    </w:p>
    <w:p w14:paraId="4738C056" w14:textId="575339F6" w:rsidR="00564DAF" w:rsidRDefault="00564DAF" w:rsidP="00D53CED">
      <w:pPr>
        <w:rPr>
          <w:b/>
        </w:rPr>
      </w:pPr>
      <w:r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 w:rsidRPr="00564DAF">
        <w:t xml:space="preserve">Assist </w:t>
      </w:r>
      <w:r>
        <w:t>centres in setting up an FCS 2.0 compliant endpoint</w:t>
      </w:r>
    </w:p>
    <w:p w14:paraId="49436CC3" w14:textId="189BB8A0" w:rsidR="00670465" w:rsidRDefault="00564DAF" w:rsidP="00D53CED">
      <w:r w:rsidRPr="00564DAF">
        <w:rPr>
          <w:b/>
        </w:rPr>
        <w:t>Who:</w:t>
      </w:r>
      <w:r>
        <w:tab/>
      </w:r>
      <w:r>
        <w:tab/>
        <w:t>FCS taskforce (Leif-Jöran as lead)</w:t>
      </w:r>
    </w:p>
    <w:p w14:paraId="29068ED2" w14:textId="7BA1C6B5" w:rsidR="00092CD3" w:rsidRDefault="00092CD3" w:rsidP="00D53CED"/>
    <w:p w14:paraId="08510558" w14:textId="559A1578" w:rsidR="00092CD3" w:rsidRPr="00FB4164" w:rsidRDefault="00092CD3" w:rsidP="00D53CED">
      <w:pPr>
        <w:rPr>
          <w:i/>
        </w:rPr>
      </w:pPr>
      <w:r w:rsidRPr="00092CD3">
        <w:rPr>
          <w:i/>
        </w:rPr>
        <w:t>Note that this action line is also highlighted in the NCF workplan for 2019.</w:t>
      </w:r>
    </w:p>
    <w:p w14:paraId="2FF7778A" w14:textId="4417732B" w:rsidR="00670465" w:rsidRDefault="00FB4164" w:rsidP="00FB4164">
      <w:pPr>
        <w:pStyle w:val="Heading2"/>
      </w:pPr>
      <w:r>
        <w:t>DOIs in the CLARIN infrastructure</w:t>
      </w:r>
    </w:p>
    <w:p w14:paraId="48A52EDA" w14:textId="4D2D514B" w:rsidR="00670465" w:rsidRPr="00FB4164" w:rsidRDefault="00FB4164" w:rsidP="00FB4164">
      <w:pPr>
        <w:ind w:left="1440" w:hanging="1440"/>
      </w:pPr>
      <w:r w:rsidRPr="00564DAF">
        <w:rPr>
          <w:b/>
        </w:rPr>
        <w:t>What:</w:t>
      </w:r>
      <w:r>
        <w:rPr>
          <w:b/>
        </w:rPr>
        <w:tab/>
      </w:r>
      <w:r w:rsidRPr="00FB4164">
        <w:t>Clarifying</w:t>
      </w:r>
      <w:r>
        <w:t xml:space="preserve"> how DOIs can relate to the CLARIN infrastructure, e.g. looking into the DataCite/CrossRef API to access data objects. Finding out if there is a good set of recommendations for centres on how to expose their datasets to OpenAIRE.</w:t>
      </w:r>
    </w:p>
    <w:p w14:paraId="0BBFA2B2" w14:textId="557DCADF" w:rsidR="00FB4164" w:rsidRPr="00FB4164" w:rsidRDefault="00FB4164" w:rsidP="00670465">
      <w:r>
        <w:rPr>
          <w:b/>
        </w:rPr>
        <w:t>Who:</w:t>
      </w:r>
      <w:r>
        <w:rPr>
          <w:b/>
        </w:rPr>
        <w:tab/>
      </w:r>
      <w:r>
        <w:rPr>
          <w:b/>
        </w:rPr>
        <w:tab/>
      </w:r>
      <w:r w:rsidRPr="00FB4164">
        <w:t>PID taskforce</w:t>
      </w:r>
    </w:p>
    <w:p w14:paraId="1D272FE6" w14:textId="77777777" w:rsidR="00092CD3" w:rsidRDefault="00092CD3" w:rsidP="00092CD3">
      <w:pPr>
        <w:pStyle w:val="Heading1"/>
      </w:pPr>
      <w:r>
        <w:t>Project activities</w:t>
      </w:r>
    </w:p>
    <w:p w14:paraId="03654680" w14:textId="77777777" w:rsidR="00092CD3" w:rsidRDefault="00092CD3" w:rsidP="00092CD3"/>
    <w:p w14:paraId="5F4E5BF6" w14:textId="77777777" w:rsidR="00092CD3" w:rsidRDefault="00092CD3" w:rsidP="00092CD3">
      <w:pPr>
        <w:ind w:left="1440" w:hanging="1440"/>
      </w:pPr>
      <w:r w:rsidRPr="00304F7F">
        <w:rPr>
          <w:b/>
        </w:rPr>
        <w:t>What:</w:t>
      </w:r>
      <w:r>
        <w:t xml:space="preserve"> </w:t>
      </w:r>
      <w:r>
        <w:tab/>
        <w:t xml:space="preserve">These tasks come as part of the Horizon2020 projects CLARIN ERIC is participating in. </w:t>
      </w:r>
    </w:p>
    <w:p w14:paraId="5C2AE6CC" w14:textId="77777777" w:rsidR="00092CD3" w:rsidRPr="00304F7F" w:rsidRDefault="00092CD3" w:rsidP="00092CD3">
      <w:r w:rsidRPr="00304F7F">
        <w:rPr>
          <w:b/>
        </w:rPr>
        <w:t>Who:</w:t>
      </w:r>
      <w:r>
        <w:t xml:space="preserve"> </w:t>
      </w:r>
      <w:r>
        <w:tab/>
      </w:r>
      <w:r>
        <w:tab/>
        <w:t>They will be performed by the project partners</w:t>
      </w:r>
    </w:p>
    <w:p w14:paraId="74E518AB" w14:textId="77777777" w:rsidR="00092CD3" w:rsidRDefault="00092CD3" w:rsidP="00092CD3"/>
    <w:p w14:paraId="13F03BEE" w14:textId="77777777" w:rsidR="00092CD3" w:rsidRDefault="00092CD3" w:rsidP="00092CD3">
      <w:pPr>
        <w:pStyle w:val="ListParagraph"/>
        <w:numPr>
          <w:ilvl w:val="0"/>
          <w:numId w:val="26"/>
        </w:numPr>
      </w:pPr>
      <w:r>
        <w:t xml:space="preserve">Continuing the work in </w:t>
      </w:r>
      <w:hyperlink r:id="rId10" w:history="1">
        <w:r w:rsidRPr="00787EA3">
          <w:rPr>
            <w:rStyle w:val="Hyperlink"/>
          </w:rPr>
          <w:t>EOSC-hub</w:t>
        </w:r>
      </w:hyperlink>
      <w:r>
        <w:t xml:space="preserve">, as described in the </w:t>
      </w:r>
      <w:hyperlink r:id="rId11" w:history="1">
        <w:r w:rsidRPr="005F76C3">
          <w:rPr>
            <w:rStyle w:val="Hyperlink"/>
          </w:rPr>
          <w:t>Task 7.1 roadmap</w:t>
        </w:r>
      </w:hyperlink>
      <w:r>
        <w:t>:</w:t>
      </w:r>
    </w:p>
    <w:p w14:paraId="0237CAD8" w14:textId="77777777" w:rsidR="00092CD3" w:rsidRDefault="00092CD3" w:rsidP="00092CD3">
      <w:pPr>
        <w:pStyle w:val="ListParagraph"/>
        <w:numPr>
          <w:ilvl w:val="1"/>
          <w:numId w:val="26"/>
        </w:numPr>
      </w:pPr>
      <w:r>
        <w:t>Integration of the Virtual Language Observatory</w:t>
      </w:r>
    </w:p>
    <w:p w14:paraId="316D687B" w14:textId="77777777" w:rsidR="00092CD3" w:rsidRDefault="00092CD3" w:rsidP="00092CD3">
      <w:pPr>
        <w:pStyle w:val="ListParagraph"/>
        <w:numPr>
          <w:ilvl w:val="1"/>
          <w:numId w:val="26"/>
        </w:numPr>
      </w:pPr>
      <w:r>
        <w:t>Integration of the Virtual Collection Registry</w:t>
      </w:r>
    </w:p>
    <w:p w14:paraId="4D4E1060" w14:textId="77777777" w:rsidR="00092CD3" w:rsidRDefault="00092CD3" w:rsidP="00092CD3">
      <w:pPr>
        <w:pStyle w:val="ListParagraph"/>
        <w:numPr>
          <w:ilvl w:val="1"/>
          <w:numId w:val="26"/>
        </w:numPr>
      </w:pPr>
      <w:r>
        <w:t>Integration of the Language Resource Switchboard</w:t>
      </w:r>
    </w:p>
    <w:p w14:paraId="46D70D9D" w14:textId="77777777" w:rsidR="00092CD3" w:rsidRDefault="00092CD3" w:rsidP="00092CD3">
      <w:pPr>
        <w:pStyle w:val="ListParagraph"/>
        <w:numPr>
          <w:ilvl w:val="0"/>
          <w:numId w:val="26"/>
        </w:numPr>
      </w:pPr>
      <w:r>
        <w:t xml:space="preserve">Starting the work in </w:t>
      </w:r>
      <w:hyperlink r:id="rId12" w:history="1">
        <w:r w:rsidRPr="00787EA3">
          <w:rPr>
            <w:rStyle w:val="Hyperlink"/>
          </w:rPr>
          <w:t>DSI-4</w:t>
        </w:r>
      </w:hyperlink>
      <w:r>
        <w:t xml:space="preserve"> (Europeana)</w:t>
      </w:r>
    </w:p>
    <w:p w14:paraId="4332189A" w14:textId="77777777" w:rsidR="00092CD3" w:rsidRDefault="00092CD3" w:rsidP="00092CD3">
      <w:pPr>
        <w:pStyle w:val="ListParagraph"/>
        <w:numPr>
          <w:ilvl w:val="1"/>
          <w:numId w:val="26"/>
        </w:numPr>
      </w:pPr>
      <w:r>
        <w:t xml:space="preserve">Write an implementation plan, similar to the </w:t>
      </w:r>
      <w:hyperlink r:id="rId13" w:history="1">
        <w:r w:rsidRPr="00787EA3">
          <w:rPr>
            <w:rStyle w:val="Hyperlink"/>
          </w:rPr>
          <w:t>one from DSI-3</w:t>
        </w:r>
      </w:hyperlink>
    </w:p>
    <w:p w14:paraId="73E69A3E" w14:textId="77777777" w:rsidR="00092CD3" w:rsidRDefault="00092CD3" w:rsidP="00092CD3">
      <w:pPr>
        <w:pStyle w:val="ListParagraph"/>
        <w:numPr>
          <w:ilvl w:val="1"/>
          <w:numId w:val="26"/>
        </w:numPr>
      </w:pPr>
      <w:r>
        <w:t>Continue the work on Europeana-VLO and Europeana-Switchboard connections.</w:t>
      </w:r>
    </w:p>
    <w:p w14:paraId="70B8359B" w14:textId="77777777" w:rsidR="00092CD3" w:rsidRDefault="00092CD3" w:rsidP="00092CD3">
      <w:pPr>
        <w:pStyle w:val="ListParagraph"/>
        <w:numPr>
          <w:ilvl w:val="1"/>
          <w:numId w:val="26"/>
        </w:numPr>
      </w:pPr>
      <w:r>
        <w:t>Look into possibilities of using the raw Europeana Newspaper data.</w:t>
      </w:r>
    </w:p>
    <w:p w14:paraId="65ED6987" w14:textId="77777777" w:rsidR="00092CD3" w:rsidRDefault="00092CD3" w:rsidP="00092CD3">
      <w:pPr>
        <w:pStyle w:val="ListParagraph"/>
        <w:numPr>
          <w:ilvl w:val="0"/>
          <w:numId w:val="26"/>
        </w:numPr>
      </w:pPr>
      <w:r>
        <w:t>Starting the work in SSHOC (Social Sciences and Humanities cluster initiative)</w:t>
      </w:r>
    </w:p>
    <w:p w14:paraId="5FF64160" w14:textId="77777777" w:rsidR="00092CD3" w:rsidRDefault="00092CD3" w:rsidP="00092CD3">
      <w:pPr>
        <w:pStyle w:val="ListParagraph"/>
        <w:numPr>
          <w:ilvl w:val="1"/>
          <w:numId w:val="26"/>
        </w:numPr>
      </w:pPr>
      <w:r>
        <w:t>Write an implementation plan</w:t>
      </w:r>
    </w:p>
    <w:p w14:paraId="6A2B60A3" w14:textId="77777777" w:rsidR="00092CD3" w:rsidRPr="00670465" w:rsidRDefault="00092CD3" w:rsidP="00670465"/>
    <w:sectPr w:rsidR="00092CD3" w:rsidRPr="00670465" w:rsidSect="0053734D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7B44" w14:textId="77777777" w:rsidR="00EB5622" w:rsidRDefault="00EB5622" w:rsidP="002149D1">
      <w:r>
        <w:separator/>
      </w:r>
    </w:p>
  </w:endnote>
  <w:endnote w:type="continuationSeparator" w:id="0">
    <w:p w14:paraId="7AB7EED2" w14:textId="77777777" w:rsidR="00EB5622" w:rsidRDefault="00EB5622" w:rsidP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2F34" w14:textId="77777777" w:rsidR="00BF2C8A" w:rsidRDefault="00BF2C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9A73F" w14:textId="77777777" w:rsidR="00BF2C8A" w:rsidRDefault="00BF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DDC0" w14:textId="77777777" w:rsidR="00BF2C8A" w:rsidRDefault="00BF2C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E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A3FDB9" w14:textId="77777777" w:rsidR="00BF2C8A" w:rsidRDefault="00BF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1F7D" w14:textId="77777777" w:rsidR="00EB5622" w:rsidRDefault="00EB5622" w:rsidP="002149D1">
      <w:r>
        <w:separator/>
      </w:r>
    </w:p>
  </w:footnote>
  <w:footnote w:type="continuationSeparator" w:id="0">
    <w:p w14:paraId="654B85A6" w14:textId="77777777" w:rsidR="00EB5622" w:rsidRDefault="00EB5622" w:rsidP="0021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A58"/>
    <w:multiLevelType w:val="hybridMultilevel"/>
    <w:tmpl w:val="7BC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750"/>
    <w:multiLevelType w:val="hybridMultilevel"/>
    <w:tmpl w:val="3CFAC21C"/>
    <w:lvl w:ilvl="0" w:tplc="CA4E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A6F"/>
    <w:multiLevelType w:val="hybridMultilevel"/>
    <w:tmpl w:val="7ECA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923"/>
    <w:multiLevelType w:val="multilevel"/>
    <w:tmpl w:val="CCB00C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593"/>
    <w:multiLevelType w:val="hybridMultilevel"/>
    <w:tmpl w:val="50D4575C"/>
    <w:lvl w:ilvl="0" w:tplc="7960F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483C"/>
    <w:multiLevelType w:val="hybridMultilevel"/>
    <w:tmpl w:val="BA2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B67"/>
    <w:multiLevelType w:val="hybridMultilevel"/>
    <w:tmpl w:val="3C64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5125"/>
    <w:multiLevelType w:val="hybridMultilevel"/>
    <w:tmpl w:val="8118E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BCE"/>
    <w:multiLevelType w:val="hybridMultilevel"/>
    <w:tmpl w:val="2ED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72D06"/>
    <w:multiLevelType w:val="hybridMultilevel"/>
    <w:tmpl w:val="06CE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1F7A"/>
    <w:multiLevelType w:val="hybridMultilevel"/>
    <w:tmpl w:val="74A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31A1"/>
    <w:multiLevelType w:val="hybridMultilevel"/>
    <w:tmpl w:val="3A8A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C5FFB"/>
    <w:multiLevelType w:val="hybridMultilevel"/>
    <w:tmpl w:val="D1EA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A6E"/>
    <w:multiLevelType w:val="hybridMultilevel"/>
    <w:tmpl w:val="383C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3D93"/>
    <w:multiLevelType w:val="hybridMultilevel"/>
    <w:tmpl w:val="E4FE6448"/>
    <w:lvl w:ilvl="0" w:tplc="7AC67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3B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8B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A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0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25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0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25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F7428"/>
    <w:multiLevelType w:val="hybridMultilevel"/>
    <w:tmpl w:val="BC8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328FE"/>
    <w:multiLevelType w:val="hybridMultilevel"/>
    <w:tmpl w:val="E16C7434"/>
    <w:lvl w:ilvl="0" w:tplc="6A34E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0098"/>
    <w:multiLevelType w:val="hybridMultilevel"/>
    <w:tmpl w:val="E25A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77C8D"/>
    <w:multiLevelType w:val="hybridMultilevel"/>
    <w:tmpl w:val="98347760"/>
    <w:lvl w:ilvl="0" w:tplc="ADC4E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A4F6E"/>
    <w:multiLevelType w:val="hybridMultilevel"/>
    <w:tmpl w:val="D876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95FA9"/>
    <w:multiLevelType w:val="hybridMultilevel"/>
    <w:tmpl w:val="2C14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B26BF"/>
    <w:multiLevelType w:val="hybridMultilevel"/>
    <w:tmpl w:val="35F6A736"/>
    <w:lvl w:ilvl="0" w:tplc="41BA0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48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C0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86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A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3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C3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8D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CE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F7FB7"/>
    <w:multiLevelType w:val="hybridMultilevel"/>
    <w:tmpl w:val="C0481E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502980"/>
    <w:multiLevelType w:val="multilevel"/>
    <w:tmpl w:val="B7AE34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1D5059B"/>
    <w:multiLevelType w:val="hybridMultilevel"/>
    <w:tmpl w:val="663A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24337"/>
    <w:multiLevelType w:val="multilevel"/>
    <w:tmpl w:val="24ECDA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F508F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6B4D4611"/>
    <w:multiLevelType w:val="hybridMultilevel"/>
    <w:tmpl w:val="65D6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762C"/>
    <w:multiLevelType w:val="hybridMultilevel"/>
    <w:tmpl w:val="9EA47CE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5200D52"/>
    <w:multiLevelType w:val="hybridMultilevel"/>
    <w:tmpl w:val="75F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B32F0"/>
    <w:multiLevelType w:val="hybridMultilevel"/>
    <w:tmpl w:val="990C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92F45"/>
    <w:multiLevelType w:val="hybridMultilevel"/>
    <w:tmpl w:val="3B6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19"/>
  </w:num>
  <w:num w:numId="5">
    <w:abstractNumId w:val="23"/>
  </w:num>
  <w:num w:numId="6">
    <w:abstractNumId w:val="18"/>
  </w:num>
  <w:num w:numId="7">
    <w:abstractNumId w:val="25"/>
  </w:num>
  <w:num w:numId="8">
    <w:abstractNumId w:val="3"/>
  </w:num>
  <w:num w:numId="9">
    <w:abstractNumId w:val="24"/>
  </w:num>
  <w:num w:numId="10">
    <w:abstractNumId w:val="4"/>
  </w:num>
  <w:num w:numId="11">
    <w:abstractNumId w:val="2"/>
  </w:num>
  <w:num w:numId="12">
    <w:abstractNumId w:val="5"/>
  </w:num>
  <w:num w:numId="13">
    <w:abstractNumId w:val="21"/>
  </w:num>
  <w:num w:numId="14">
    <w:abstractNumId w:val="10"/>
  </w:num>
  <w:num w:numId="15">
    <w:abstractNumId w:val="29"/>
  </w:num>
  <w:num w:numId="16">
    <w:abstractNumId w:val="31"/>
  </w:num>
  <w:num w:numId="17">
    <w:abstractNumId w:val="14"/>
  </w:num>
  <w:num w:numId="18">
    <w:abstractNumId w:val="0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1"/>
  </w:num>
  <w:num w:numId="24">
    <w:abstractNumId w:val="17"/>
  </w:num>
  <w:num w:numId="25">
    <w:abstractNumId w:val="12"/>
  </w:num>
  <w:num w:numId="26">
    <w:abstractNumId w:val="13"/>
  </w:num>
  <w:num w:numId="27">
    <w:abstractNumId w:val="27"/>
  </w:num>
  <w:num w:numId="28">
    <w:abstractNumId w:val="28"/>
  </w:num>
  <w:num w:numId="29">
    <w:abstractNumId w:val="9"/>
  </w:num>
  <w:num w:numId="30">
    <w:abstractNumId w:val="7"/>
  </w:num>
  <w:num w:numId="31">
    <w:abstractNumId w:val="26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8C"/>
    <w:rsid w:val="00046229"/>
    <w:rsid w:val="0006159B"/>
    <w:rsid w:val="000729AB"/>
    <w:rsid w:val="000743FD"/>
    <w:rsid w:val="00092CD3"/>
    <w:rsid w:val="000D4A2E"/>
    <w:rsid w:val="001250C3"/>
    <w:rsid w:val="00127797"/>
    <w:rsid w:val="00134FAD"/>
    <w:rsid w:val="00154F4A"/>
    <w:rsid w:val="001609C5"/>
    <w:rsid w:val="001A3EAA"/>
    <w:rsid w:val="001B2183"/>
    <w:rsid w:val="001D4A6A"/>
    <w:rsid w:val="001E1550"/>
    <w:rsid w:val="002019C2"/>
    <w:rsid w:val="002149D1"/>
    <w:rsid w:val="00237775"/>
    <w:rsid w:val="00251277"/>
    <w:rsid w:val="00272495"/>
    <w:rsid w:val="00286F1C"/>
    <w:rsid w:val="002C6504"/>
    <w:rsid w:val="00304F7F"/>
    <w:rsid w:val="003870E7"/>
    <w:rsid w:val="003C582D"/>
    <w:rsid w:val="00421433"/>
    <w:rsid w:val="00424EE1"/>
    <w:rsid w:val="00434599"/>
    <w:rsid w:val="00455CD2"/>
    <w:rsid w:val="00490C56"/>
    <w:rsid w:val="004C2279"/>
    <w:rsid w:val="004C5BDD"/>
    <w:rsid w:val="004D0509"/>
    <w:rsid w:val="004D4BB1"/>
    <w:rsid w:val="004E6583"/>
    <w:rsid w:val="004E7459"/>
    <w:rsid w:val="0051426F"/>
    <w:rsid w:val="00523C32"/>
    <w:rsid w:val="00524CBB"/>
    <w:rsid w:val="0052781B"/>
    <w:rsid w:val="0053734D"/>
    <w:rsid w:val="005439C0"/>
    <w:rsid w:val="00550B82"/>
    <w:rsid w:val="00564DAF"/>
    <w:rsid w:val="00565B3A"/>
    <w:rsid w:val="00567C8C"/>
    <w:rsid w:val="005A27E9"/>
    <w:rsid w:val="005F76C3"/>
    <w:rsid w:val="00603BDB"/>
    <w:rsid w:val="00604906"/>
    <w:rsid w:val="00666D0D"/>
    <w:rsid w:val="00670465"/>
    <w:rsid w:val="0068075F"/>
    <w:rsid w:val="006A1F02"/>
    <w:rsid w:val="006C78CB"/>
    <w:rsid w:val="006F1C5A"/>
    <w:rsid w:val="006F572F"/>
    <w:rsid w:val="00710D9D"/>
    <w:rsid w:val="007247CA"/>
    <w:rsid w:val="007473B5"/>
    <w:rsid w:val="0078274A"/>
    <w:rsid w:val="00785EDC"/>
    <w:rsid w:val="00787EA3"/>
    <w:rsid w:val="007D5817"/>
    <w:rsid w:val="007F0639"/>
    <w:rsid w:val="00837E89"/>
    <w:rsid w:val="00844BE6"/>
    <w:rsid w:val="00846590"/>
    <w:rsid w:val="00854072"/>
    <w:rsid w:val="00860465"/>
    <w:rsid w:val="00861025"/>
    <w:rsid w:val="00870273"/>
    <w:rsid w:val="008F1979"/>
    <w:rsid w:val="00911BD3"/>
    <w:rsid w:val="00916273"/>
    <w:rsid w:val="00947CFD"/>
    <w:rsid w:val="00962030"/>
    <w:rsid w:val="009700C9"/>
    <w:rsid w:val="009800D6"/>
    <w:rsid w:val="00981940"/>
    <w:rsid w:val="009C51D6"/>
    <w:rsid w:val="009D0F68"/>
    <w:rsid w:val="00A06976"/>
    <w:rsid w:val="00A16779"/>
    <w:rsid w:val="00A324B3"/>
    <w:rsid w:val="00A40070"/>
    <w:rsid w:val="00A419B5"/>
    <w:rsid w:val="00A529DD"/>
    <w:rsid w:val="00A569E2"/>
    <w:rsid w:val="00A82A76"/>
    <w:rsid w:val="00AA45D4"/>
    <w:rsid w:val="00AB45AA"/>
    <w:rsid w:val="00AB4B68"/>
    <w:rsid w:val="00AC38A8"/>
    <w:rsid w:val="00AD19DD"/>
    <w:rsid w:val="00B27A29"/>
    <w:rsid w:val="00B3352D"/>
    <w:rsid w:val="00B409F2"/>
    <w:rsid w:val="00B512C2"/>
    <w:rsid w:val="00B53710"/>
    <w:rsid w:val="00B8268E"/>
    <w:rsid w:val="00B96082"/>
    <w:rsid w:val="00BA0E29"/>
    <w:rsid w:val="00BD69FF"/>
    <w:rsid w:val="00BF2C8A"/>
    <w:rsid w:val="00C02B0A"/>
    <w:rsid w:val="00C05B45"/>
    <w:rsid w:val="00C10324"/>
    <w:rsid w:val="00C246D5"/>
    <w:rsid w:val="00C255B4"/>
    <w:rsid w:val="00C51AF7"/>
    <w:rsid w:val="00C57FFD"/>
    <w:rsid w:val="00C8003E"/>
    <w:rsid w:val="00CA3E2A"/>
    <w:rsid w:val="00CC7098"/>
    <w:rsid w:val="00CF349A"/>
    <w:rsid w:val="00D357DB"/>
    <w:rsid w:val="00D430B6"/>
    <w:rsid w:val="00D53CED"/>
    <w:rsid w:val="00D61420"/>
    <w:rsid w:val="00DA0E6A"/>
    <w:rsid w:val="00DB3432"/>
    <w:rsid w:val="00DB369E"/>
    <w:rsid w:val="00DC1847"/>
    <w:rsid w:val="00DD2D8C"/>
    <w:rsid w:val="00DE3905"/>
    <w:rsid w:val="00E01DA5"/>
    <w:rsid w:val="00E04377"/>
    <w:rsid w:val="00E374DB"/>
    <w:rsid w:val="00E470B7"/>
    <w:rsid w:val="00E548B2"/>
    <w:rsid w:val="00EA6820"/>
    <w:rsid w:val="00EB5622"/>
    <w:rsid w:val="00F00849"/>
    <w:rsid w:val="00F104AF"/>
    <w:rsid w:val="00F16C81"/>
    <w:rsid w:val="00F3658D"/>
    <w:rsid w:val="00F53704"/>
    <w:rsid w:val="00F63CB3"/>
    <w:rsid w:val="00F64DF2"/>
    <w:rsid w:val="00F74113"/>
    <w:rsid w:val="00F757F5"/>
    <w:rsid w:val="00F91483"/>
    <w:rsid w:val="00F948FD"/>
    <w:rsid w:val="00FB0921"/>
    <w:rsid w:val="00FB2747"/>
    <w:rsid w:val="00FB4164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73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1940"/>
    <w:rPr>
      <w:rFonts w:asciiTheme="majorHAnsi" w:eastAsia="Times New Roman" w:hAnsiTheme="majorHAnsi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semiHidden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4C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025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2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9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95"/>
    <w:rPr>
      <w:rFonts w:eastAsia="Times New Roman" w:cs="Times New Roman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95"/>
    <w:rPr>
      <w:rFonts w:eastAsia="Times New Roman" w:cs="Times New Roman"/>
      <w:b/>
      <w:bCs/>
      <w:sz w:val="20"/>
      <w:szCs w:val="20"/>
      <w:lang w:val="en-GB" w:eastAsia="de-DE"/>
    </w:rPr>
  </w:style>
  <w:style w:type="character" w:styleId="UnresolvedMention">
    <w:name w:val="Unresolved Mention"/>
    <w:basedOn w:val="DefaultParagraphFont"/>
    <w:uiPriority w:val="99"/>
    <w:rsid w:val="00FB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0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4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n.eu" TargetMode="External"/><Relationship Id="rId13" Type="http://schemas.openxmlformats.org/officeDocument/2006/relationships/hyperlink" Target="https://office.clarin.eu/v/CE-2017-1147-Europeana_DSI-3_task_327_work_pl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larin.eu/node/42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fice.clarin.eu/v/CE-2018-1175-EOSC-hub-task71-roadmap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larin.eu/node/4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rin.eu/content/user-delegatio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tuyt/Library/Group%20Containers/UBF8T346G9.Office/User%20Content.localized/Templates.localized/CLARIN-CE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CLARIN-CE-document.dotx</Template>
  <TotalTime>150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Psycholinguistics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Uytvanck</dc:creator>
  <cp:keywords/>
  <dc:description/>
  <cp:lastModifiedBy>Dieter Van Uytvanck</cp:lastModifiedBy>
  <cp:revision>6</cp:revision>
  <dcterms:created xsi:type="dcterms:W3CDTF">2018-10-01T14:28:00Z</dcterms:created>
  <dcterms:modified xsi:type="dcterms:W3CDTF">2018-10-02T13:36:00Z</dcterms:modified>
</cp:coreProperties>
</file>