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CB5A52" w14:textId="77777777" w:rsidR="00856FB8" w:rsidRDefault="00856FB8">
      <w:pPr>
        <w:widowControl w:val="0"/>
      </w:pPr>
    </w:p>
    <w:tbl>
      <w:tblPr>
        <w:tblStyle w:val="a"/>
        <w:tblW w:w="9450" w:type="dxa"/>
        <w:tblLayout w:type="fixed"/>
        <w:tblLook w:val="0600" w:firstRow="0" w:lastRow="0" w:firstColumn="0" w:lastColumn="0" w:noHBand="1" w:noVBand="1"/>
      </w:tblPr>
      <w:tblGrid>
        <w:gridCol w:w="1935"/>
        <w:gridCol w:w="5265"/>
        <w:gridCol w:w="2250"/>
      </w:tblGrid>
      <w:tr w:rsidR="00856FB8" w14:paraId="3A3651B3" w14:textId="77777777">
        <w:tc>
          <w:tcPr>
            <w:tcW w:w="1935" w:type="dxa"/>
            <w:tcMar>
              <w:left w:w="0" w:type="dxa"/>
              <w:right w:w="0" w:type="dxa"/>
            </w:tcMar>
          </w:tcPr>
          <w:p w14:paraId="4954BEB3" w14:textId="77777777" w:rsidR="00856FB8" w:rsidRDefault="00F81A1B">
            <w:pPr>
              <w:spacing w:after="0"/>
              <w:rPr>
                <w:b/>
                <w:color w:val="39688B"/>
              </w:rPr>
            </w:pPr>
            <w:r>
              <w:rPr>
                <w:b/>
                <w:color w:val="39688B"/>
              </w:rPr>
              <w:t>Title</w:t>
            </w:r>
          </w:p>
        </w:tc>
        <w:tc>
          <w:tcPr>
            <w:tcW w:w="5265" w:type="dxa"/>
            <w:tcMar>
              <w:left w:w="0" w:type="dxa"/>
              <w:right w:w="0" w:type="dxa"/>
            </w:tcMar>
          </w:tcPr>
          <w:p w14:paraId="5324BABC" w14:textId="77777777" w:rsidR="00856FB8" w:rsidRDefault="00F81A1B">
            <w:pPr>
              <w:spacing w:after="0"/>
              <w:rPr>
                <w:color w:val="39688B"/>
              </w:rPr>
            </w:pPr>
            <w:r>
              <w:rPr>
                <w:color w:val="39688B"/>
              </w:rPr>
              <w:t xml:space="preserve">Steven </w:t>
            </w:r>
            <w:proofErr w:type="spellStart"/>
            <w:r>
              <w:rPr>
                <w:color w:val="39688B"/>
              </w:rPr>
              <w:t>Krauwer</w:t>
            </w:r>
            <w:proofErr w:type="spellEnd"/>
            <w:r>
              <w:rPr>
                <w:color w:val="39688B"/>
              </w:rPr>
              <w:t xml:space="preserve"> Awards 2017, call for nominations</w:t>
            </w:r>
          </w:p>
        </w:tc>
        <w:tc>
          <w:tcPr>
            <w:tcW w:w="22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92BE" w14:textId="77777777" w:rsidR="00856FB8" w:rsidRDefault="00F81A1B">
            <w:pPr>
              <w:widowControl w:val="0"/>
              <w:spacing w:after="200"/>
              <w:ind w:left="-69" w:right="-980"/>
              <w:jc w:val="left"/>
            </w:pPr>
            <w:r>
              <w:rPr>
                <w:noProof/>
              </w:rPr>
              <w:drawing>
                <wp:inline distT="0" distB="0" distL="0" distR="0" wp14:anchorId="3CB15E98" wp14:editId="7B86B61F">
                  <wp:extent cx="1371600" cy="885825"/>
                  <wp:effectExtent l="0" t="0" r="0" b="0"/>
                  <wp:docPr id="1" name="image2.jpg" descr="C:\Users\steven\Desktop\CLARIN_ERIC\CLARIN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steven\Desktop\CLARIN_ERIC\CLARIN-Logo.jpg"/>
                          <pic:cNvPicPr preferRelativeResize="0"/>
                        </pic:nvPicPr>
                        <pic:blipFill>
                          <a:blip r:embed="rId6"/>
                          <a:srcRect r="-47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FB8" w14:paraId="6C95B024" w14:textId="77777777">
        <w:tc>
          <w:tcPr>
            <w:tcW w:w="1935" w:type="dxa"/>
            <w:tcMar>
              <w:left w:w="0" w:type="dxa"/>
              <w:right w:w="0" w:type="dxa"/>
            </w:tcMar>
          </w:tcPr>
          <w:p w14:paraId="50E90F3A" w14:textId="77777777" w:rsidR="00856FB8" w:rsidRDefault="00F81A1B">
            <w:pPr>
              <w:spacing w:after="0"/>
              <w:rPr>
                <w:b/>
                <w:color w:val="39688B"/>
              </w:rPr>
            </w:pPr>
            <w:r>
              <w:rPr>
                <w:b/>
                <w:color w:val="39688B"/>
              </w:rPr>
              <w:t>Version</w:t>
            </w:r>
          </w:p>
        </w:tc>
        <w:tc>
          <w:tcPr>
            <w:tcW w:w="5265" w:type="dxa"/>
            <w:tcMar>
              <w:left w:w="0" w:type="dxa"/>
              <w:right w:w="0" w:type="dxa"/>
            </w:tcMar>
          </w:tcPr>
          <w:p w14:paraId="17F9FDB0" w14:textId="14489549" w:rsidR="00856FB8" w:rsidRDefault="00F81A1B">
            <w:pPr>
              <w:spacing w:after="0"/>
              <w:rPr>
                <w:color w:val="39688B"/>
              </w:rPr>
            </w:pPr>
            <w:r>
              <w:rPr>
                <w:color w:val="39688B"/>
              </w:rPr>
              <w:t>1.</w:t>
            </w:r>
            <w:r w:rsidR="00425042">
              <w:rPr>
                <w:color w:val="39688B"/>
              </w:rPr>
              <w:t>2</w:t>
            </w:r>
          </w:p>
        </w:tc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05B4" w14:textId="77777777" w:rsidR="00856FB8" w:rsidRDefault="00856FB8">
            <w:pPr>
              <w:widowControl w:val="0"/>
              <w:spacing w:after="0" w:line="240" w:lineRule="auto"/>
              <w:jc w:val="left"/>
            </w:pPr>
          </w:p>
        </w:tc>
      </w:tr>
      <w:tr w:rsidR="00856FB8" w14:paraId="3B37EDD5" w14:textId="77777777">
        <w:tc>
          <w:tcPr>
            <w:tcW w:w="1935" w:type="dxa"/>
            <w:tcMar>
              <w:left w:w="0" w:type="dxa"/>
              <w:right w:w="0" w:type="dxa"/>
            </w:tcMar>
          </w:tcPr>
          <w:p w14:paraId="459348B1" w14:textId="77777777" w:rsidR="00856FB8" w:rsidRDefault="00F81A1B">
            <w:pPr>
              <w:spacing w:after="0"/>
              <w:rPr>
                <w:b/>
                <w:color w:val="39688B"/>
              </w:rPr>
            </w:pPr>
            <w:r>
              <w:rPr>
                <w:b/>
                <w:color w:val="39688B"/>
              </w:rPr>
              <w:t>Author(s)</w:t>
            </w:r>
          </w:p>
        </w:tc>
        <w:tc>
          <w:tcPr>
            <w:tcW w:w="5265" w:type="dxa"/>
            <w:tcMar>
              <w:left w:w="0" w:type="dxa"/>
              <w:right w:w="0" w:type="dxa"/>
            </w:tcMar>
          </w:tcPr>
          <w:p w14:paraId="3E5892A1" w14:textId="4480709A" w:rsidR="00856FB8" w:rsidRDefault="00F81A1B">
            <w:pPr>
              <w:spacing w:after="0"/>
              <w:rPr>
                <w:color w:val="39688B"/>
              </w:rPr>
            </w:pPr>
            <w:r>
              <w:rPr>
                <w:color w:val="39688B"/>
              </w:rPr>
              <w:t>KDS</w:t>
            </w:r>
            <w:r w:rsidR="00491E27">
              <w:rPr>
                <w:color w:val="39688B"/>
              </w:rPr>
              <w:t>+MP</w:t>
            </w:r>
          </w:p>
        </w:tc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0CA4" w14:textId="77777777" w:rsidR="00856FB8" w:rsidRDefault="00856FB8">
            <w:pPr>
              <w:widowControl w:val="0"/>
              <w:spacing w:after="0" w:line="240" w:lineRule="auto"/>
              <w:jc w:val="left"/>
            </w:pPr>
          </w:p>
        </w:tc>
      </w:tr>
      <w:tr w:rsidR="00856FB8" w14:paraId="6B258941" w14:textId="77777777">
        <w:tc>
          <w:tcPr>
            <w:tcW w:w="1935" w:type="dxa"/>
            <w:tcMar>
              <w:left w:w="0" w:type="dxa"/>
              <w:right w:w="0" w:type="dxa"/>
            </w:tcMar>
          </w:tcPr>
          <w:p w14:paraId="6BABE0B0" w14:textId="77777777" w:rsidR="00856FB8" w:rsidRDefault="00F81A1B">
            <w:pPr>
              <w:tabs>
                <w:tab w:val="left" w:pos="2869"/>
              </w:tabs>
              <w:spacing w:after="0"/>
              <w:rPr>
                <w:b/>
                <w:color w:val="39688B"/>
              </w:rPr>
            </w:pPr>
            <w:r>
              <w:rPr>
                <w:b/>
                <w:color w:val="39688B"/>
              </w:rPr>
              <w:t>Document Date</w:t>
            </w:r>
          </w:p>
        </w:tc>
        <w:tc>
          <w:tcPr>
            <w:tcW w:w="5265" w:type="dxa"/>
            <w:tcMar>
              <w:left w:w="0" w:type="dxa"/>
              <w:right w:w="0" w:type="dxa"/>
            </w:tcMar>
          </w:tcPr>
          <w:p w14:paraId="3BD7B7C0" w14:textId="33CF40C8" w:rsidR="00856FB8" w:rsidRDefault="00F81A1B">
            <w:pPr>
              <w:spacing w:after="0"/>
              <w:rPr>
                <w:color w:val="39688B"/>
              </w:rPr>
            </w:pPr>
            <w:r>
              <w:rPr>
                <w:color w:val="39688B"/>
              </w:rPr>
              <w:t>2017-06-2</w:t>
            </w:r>
            <w:r w:rsidR="00814A68">
              <w:rPr>
                <w:color w:val="39688B"/>
              </w:rPr>
              <w:t>1</w:t>
            </w:r>
            <w:bookmarkStart w:id="0" w:name="_GoBack"/>
            <w:bookmarkEnd w:id="0"/>
          </w:p>
        </w:tc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054F" w14:textId="77777777" w:rsidR="00856FB8" w:rsidRDefault="00856FB8">
            <w:pPr>
              <w:widowControl w:val="0"/>
              <w:spacing w:after="0" w:line="240" w:lineRule="auto"/>
              <w:jc w:val="left"/>
            </w:pPr>
          </w:p>
        </w:tc>
      </w:tr>
      <w:tr w:rsidR="00856FB8" w14:paraId="304EA743" w14:textId="77777777">
        <w:trPr>
          <w:trHeight w:val="320"/>
        </w:trPr>
        <w:tc>
          <w:tcPr>
            <w:tcW w:w="1935" w:type="dxa"/>
            <w:tcMar>
              <w:left w:w="0" w:type="dxa"/>
              <w:right w:w="0" w:type="dxa"/>
            </w:tcMar>
          </w:tcPr>
          <w:p w14:paraId="1A0F6F7D" w14:textId="77777777" w:rsidR="00856FB8" w:rsidRDefault="00F81A1B">
            <w:pPr>
              <w:spacing w:after="0"/>
              <w:rPr>
                <w:b/>
                <w:color w:val="39688B"/>
              </w:rPr>
            </w:pPr>
            <w:r>
              <w:rPr>
                <w:b/>
                <w:color w:val="39688B"/>
              </w:rPr>
              <w:t>Status</w:t>
            </w:r>
          </w:p>
        </w:tc>
        <w:tc>
          <w:tcPr>
            <w:tcW w:w="5265" w:type="dxa"/>
            <w:tcMar>
              <w:left w:w="0" w:type="dxa"/>
              <w:right w:w="0" w:type="dxa"/>
            </w:tcMar>
          </w:tcPr>
          <w:p w14:paraId="5D34BF0A" w14:textId="08DC0377" w:rsidR="00856FB8" w:rsidRDefault="001D6D04">
            <w:pPr>
              <w:spacing w:after="0"/>
              <w:rPr>
                <w:color w:val="39688B"/>
              </w:rPr>
            </w:pPr>
            <w:r>
              <w:rPr>
                <w:color w:val="39688B"/>
              </w:rPr>
              <w:t>F</w:t>
            </w:r>
            <w:r w:rsidR="008B2A7F">
              <w:rPr>
                <w:color w:val="39688B"/>
              </w:rPr>
              <w:t>inal</w:t>
            </w:r>
          </w:p>
        </w:tc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B80D" w14:textId="77777777" w:rsidR="00856FB8" w:rsidRDefault="00856FB8">
            <w:pPr>
              <w:widowControl w:val="0"/>
              <w:spacing w:after="0" w:line="240" w:lineRule="auto"/>
              <w:jc w:val="left"/>
            </w:pPr>
          </w:p>
        </w:tc>
      </w:tr>
      <w:tr w:rsidR="00856FB8" w14:paraId="7D5CE18A" w14:textId="77777777">
        <w:tc>
          <w:tcPr>
            <w:tcW w:w="1935" w:type="dxa"/>
            <w:tcMar>
              <w:left w:w="0" w:type="dxa"/>
              <w:right w:w="0" w:type="dxa"/>
            </w:tcMar>
          </w:tcPr>
          <w:p w14:paraId="54737554" w14:textId="77777777" w:rsidR="00856FB8" w:rsidRDefault="00F81A1B">
            <w:pPr>
              <w:spacing w:after="0"/>
              <w:rPr>
                <w:b/>
                <w:color w:val="39688B"/>
              </w:rPr>
            </w:pPr>
            <w:r>
              <w:rPr>
                <w:b/>
                <w:color w:val="39688B"/>
              </w:rPr>
              <w:t>Distribution</w:t>
            </w:r>
          </w:p>
        </w:tc>
        <w:tc>
          <w:tcPr>
            <w:tcW w:w="5265" w:type="dxa"/>
            <w:tcMar>
              <w:left w:w="0" w:type="dxa"/>
              <w:right w:w="0" w:type="dxa"/>
            </w:tcMar>
          </w:tcPr>
          <w:p w14:paraId="6C68F5FF" w14:textId="77777777" w:rsidR="00856FB8" w:rsidRDefault="00F81A1B">
            <w:pPr>
              <w:spacing w:after="0"/>
              <w:rPr>
                <w:color w:val="39688B"/>
              </w:rPr>
            </w:pPr>
            <w:r>
              <w:rPr>
                <w:color w:val="39688B"/>
              </w:rPr>
              <w:t>NCF</w:t>
            </w:r>
          </w:p>
        </w:tc>
        <w:tc>
          <w:tcPr>
            <w:tcW w:w="22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39B7" w14:textId="77777777" w:rsidR="00856FB8" w:rsidRDefault="00856FB8">
            <w:pPr>
              <w:widowControl w:val="0"/>
              <w:spacing w:after="0" w:line="240" w:lineRule="auto"/>
              <w:jc w:val="left"/>
            </w:pPr>
          </w:p>
        </w:tc>
      </w:tr>
      <w:tr w:rsidR="00856FB8" w14:paraId="1A09C75D" w14:textId="77777777">
        <w:tc>
          <w:tcPr>
            <w:tcW w:w="1935" w:type="dxa"/>
            <w:tcBorders>
              <w:bottom w:val="single" w:sz="12" w:space="0" w:color="A2C037"/>
            </w:tcBorders>
            <w:tcMar>
              <w:left w:w="0" w:type="dxa"/>
              <w:right w:w="0" w:type="dxa"/>
            </w:tcMar>
          </w:tcPr>
          <w:p w14:paraId="6F4576F2" w14:textId="77777777" w:rsidR="00856FB8" w:rsidRDefault="00F81A1B">
            <w:pPr>
              <w:spacing w:after="0"/>
              <w:rPr>
                <w:b/>
                <w:color w:val="39688B"/>
              </w:rPr>
            </w:pPr>
            <w:r>
              <w:rPr>
                <w:b/>
                <w:color w:val="39688B"/>
              </w:rPr>
              <w:t>ID</w:t>
            </w:r>
          </w:p>
        </w:tc>
        <w:tc>
          <w:tcPr>
            <w:tcW w:w="5265" w:type="dxa"/>
            <w:tcBorders>
              <w:bottom w:val="single" w:sz="12" w:space="0" w:color="A2C037"/>
            </w:tcBorders>
            <w:tcMar>
              <w:left w:w="0" w:type="dxa"/>
              <w:right w:w="0" w:type="dxa"/>
            </w:tcMar>
          </w:tcPr>
          <w:p w14:paraId="56F12004" w14:textId="57152AB4" w:rsidR="00856FB8" w:rsidRDefault="00F81A1B">
            <w:pPr>
              <w:spacing w:after="0"/>
              <w:rPr>
                <w:color w:val="39688B"/>
              </w:rPr>
            </w:pPr>
            <w:r>
              <w:rPr>
                <w:color w:val="39688B"/>
              </w:rPr>
              <w:t>CE-2017-1</w:t>
            </w:r>
            <w:r w:rsidR="00B51983">
              <w:rPr>
                <w:color w:val="39688B"/>
              </w:rPr>
              <w:t>232</w:t>
            </w:r>
          </w:p>
        </w:tc>
        <w:tc>
          <w:tcPr>
            <w:tcW w:w="2250" w:type="dxa"/>
            <w:vMerge/>
            <w:tcBorders>
              <w:bottom w:val="single" w:sz="12" w:space="0" w:color="A2C03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2E43" w14:textId="77777777" w:rsidR="00856FB8" w:rsidRDefault="00856FB8">
            <w:pPr>
              <w:widowControl w:val="0"/>
              <w:spacing w:after="0" w:line="240" w:lineRule="auto"/>
              <w:jc w:val="left"/>
            </w:pPr>
          </w:p>
        </w:tc>
      </w:tr>
    </w:tbl>
    <w:p w14:paraId="0431FA8E" w14:textId="77777777" w:rsidR="00856FB8" w:rsidRDefault="00856FB8">
      <w:pPr>
        <w:widowControl w:val="0"/>
        <w:rPr>
          <w:u w:val="single"/>
        </w:rPr>
      </w:pPr>
    </w:p>
    <w:p w14:paraId="0C65BCCE" w14:textId="6195BD89" w:rsidR="00856FB8" w:rsidRDefault="00F81467">
      <w:pPr>
        <w:pStyle w:val="Heading1"/>
        <w:contextualSpacing w:val="0"/>
      </w:pPr>
      <w:bookmarkStart w:id="1" w:name="_8648xohwvhud" w:colFirst="0" w:colLast="0"/>
      <w:bookmarkEnd w:id="1"/>
      <w:r>
        <w:t xml:space="preserve">Steven </w:t>
      </w:r>
      <w:proofErr w:type="spellStart"/>
      <w:r>
        <w:t>Krauwer</w:t>
      </w:r>
      <w:proofErr w:type="spellEnd"/>
      <w:r>
        <w:t xml:space="preserve"> Awards 2018</w:t>
      </w:r>
      <w:r w:rsidR="00F81A1B">
        <w:t>, call for nominations</w:t>
      </w:r>
    </w:p>
    <w:p w14:paraId="3608EC8D" w14:textId="77777777" w:rsidR="00856FB8" w:rsidRDefault="00F81A1B">
      <w:pPr>
        <w:pStyle w:val="Heading2"/>
        <w:widowControl w:val="0"/>
        <w:contextualSpacing w:val="0"/>
      </w:pPr>
      <w:bookmarkStart w:id="2" w:name="_dtwtmy53rnrb" w:colFirst="0" w:colLast="0"/>
      <w:bookmarkEnd w:id="2"/>
      <w:r>
        <w:t>Description</w:t>
      </w:r>
    </w:p>
    <w:p w14:paraId="0F679C2A" w14:textId="7E971209" w:rsidR="00856FB8" w:rsidRDefault="00F81A1B">
      <w:pPr>
        <w:widowControl w:val="0"/>
      </w:pPr>
      <w:r>
        <w:t xml:space="preserve">These awards, named in </w:t>
      </w:r>
      <w:proofErr w:type="spellStart"/>
      <w:r>
        <w:t>hono</w:t>
      </w:r>
      <w:r w:rsidR="003E7E32">
        <w:t>u</w:t>
      </w:r>
      <w:r>
        <w:t>r</w:t>
      </w:r>
      <w:proofErr w:type="spellEnd"/>
      <w:r>
        <w:t xml:space="preserve"> of Steven </w:t>
      </w:r>
      <w:proofErr w:type="spellStart"/>
      <w:r>
        <w:t>Krauwer</w:t>
      </w:r>
      <w:proofErr w:type="spellEnd"/>
      <w:r>
        <w:t xml:space="preserve"> (</w:t>
      </w:r>
      <w:r w:rsidR="004C5B63">
        <w:t xml:space="preserve">the </w:t>
      </w:r>
      <w:r>
        <w:t xml:space="preserve">first executive director of CLARIN ERIC) are given annually to outstanding scientists or engineers in recognition of </w:t>
      </w:r>
      <w:r w:rsidR="00E440FD">
        <w:rPr>
          <w:i/>
        </w:rPr>
        <w:t>outstanding</w:t>
      </w:r>
      <w:r w:rsidRPr="00145C7F">
        <w:rPr>
          <w:i/>
        </w:rPr>
        <w:t xml:space="preserve"> contributions toward CLARIN goals in the areas of language resource building, tool or service development, exemplary use cases, user involvement or knowledge sharing.</w:t>
      </w:r>
    </w:p>
    <w:p w14:paraId="14DEC0EA" w14:textId="77777777" w:rsidR="00856FB8" w:rsidRDefault="00F81A1B">
      <w:pPr>
        <w:pStyle w:val="Heading2"/>
        <w:widowControl w:val="0"/>
        <w:contextualSpacing w:val="0"/>
      </w:pPr>
      <w:bookmarkStart w:id="3" w:name="_ow4r0h79rrss" w:colFirst="0" w:colLast="0"/>
      <w:bookmarkEnd w:id="3"/>
      <w:r>
        <w:t>Categories</w:t>
      </w:r>
    </w:p>
    <w:p w14:paraId="409B99B0" w14:textId="26D5AF7B" w:rsidR="00856FB8" w:rsidRDefault="00F81467">
      <w:pPr>
        <w:widowControl w:val="0"/>
      </w:pPr>
      <w:r>
        <w:t>In 2018</w:t>
      </w:r>
      <w:r w:rsidR="00145C7F">
        <w:t>,</w:t>
      </w:r>
      <w:r>
        <w:t xml:space="preserve"> </w:t>
      </w:r>
      <w:r w:rsidR="00F81A1B">
        <w:t xml:space="preserve">Steven </w:t>
      </w:r>
      <w:proofErr w:type="spellStart"/>
      <w:r w:rsidR="00F81A1B">
        <w:t>Krauwer</w:t>
      </w:r>
      <w:proofErr w:type="spellEnd"/>
      <w:r w:rsidR="00F81A1B">
        <w:t xml:space="preserve"> Awards will be give</w:t>
      </w:r>
      <w:r>
        <w:t xml:space="preserve">n </w:t>
      </w:r>
      <w:r w:rsidR="00145C7F">
        <w:t>in the</w:t>
      </w:r>
      <w:r>
        <w:t xml:space="preserve"> </w:t>
      </w:r>
      <w:r w:rsidR="00145C7F">
        <w:t>following categories:</w:t>
      </w:r>
    </w:p>
    <w:p w14:paraId="2C63D61F" w14:textId="3AD1155F" w:rsidR="00856FB8" w:rsidRDefault="00F81A1B">
      <w:pPr>
        <w:widowControl w:val="0"/>
        <w:ind w:left="720"/>
      </w:pPr>
      <w:r>
        <w:rPr>
          <w:b/>
        </w:rPr>
        <w:t xml:space="preserve">1. Young CLARIN </w:t>
      </w:r>
      <w:r w:rsidR="00C67AB3">
        <w:rPr>
          <w:b/>
        </w:rPr>
        <w:t>Researcher</w:t>
      </w:r>
      <w:r>
        <w:rPr>
          <w:b/>
        </w:rPr>
        <w:t>.</w:t>
      </w:r>
      <w:r>
        <w:t xml:space="preserve"> The intended goal of this award is to promote </w:t>
      </w:r>
      <w:r w:rsidR="00C67AB3">
        <w:t xml:space="preserve">a </w:t>
      </w:r>
      <w:r w:rsidR="00145C7F">
        <w:t xml:space="preserve">young person </w:t>
      </w:r>
      <w:r w:rsidR="00F81467">
        <w:t xml:space="preserve">or a group of cooperating young persons </w:t>
      </w:r>
      <w:r w:rsidR="00145C7F">
        <w:t>below the age of 35.</w:t>
      </w:r>
    </w:p>
    <w:p w14:paraId="0D1A2D4B" w14:textId="216650FA" w:rsidR="00856FB8" w:rsidRDefault="00145C7F">
      <w:pPr>
        <w:widowControl w:val="0"/>
        <w:ind w:left="720"/>
        <w:rPr>
          <w:b/>
        </w:rPr>
      </w:pPr>
      <w:r>
        <w:rPr>
          <w:b/>
        </w:rPr>
        <w:t>2. CLARIN A</w:t>
      </w:r>
      <w:r w:rsidR="00F81A1B">
        <w:rPr>
          <w:b/>
        </w:rPr>
        <w:t>chievement.</w:t>
      </w:r>
      <w:r w:rsidR="00F81A1B">
        <w:t xml:space="preserve"> The intended goal of this award is to recognize </w:t>
      </w:r>
      <w:r w:rsidR="007D4D00">
        <w:t xml:space="preserve">the work of </w:t>
      </w:r>
      <w:r>
        <w:t xml:space="preserve">a person or </w:t>
      </w:r>
      <w:r w:rsidR="005D568E">
        <w:t xml:space="preserve">a </w:t>
      </w:r>
      <w:r>
        <w:t xml:space="preserve">group of </w:t>
      </w:r>
      <w:r w:rsidR="005D568E">
        <w:t xml:space="preserve">cooperating </w:t>
      </w:r>
      <w:r>
        <w:t>people</w:t>
      </w:r>
      <w:r w:rsidR="00F81A1B">
        <w:t>.</w:t>
      </w:r>
    </w:p>
    <w:p w14:paraId="40485B68" w14:textId="77777777" w:rsidR="00856FB8" w:rsidRDefault="00F81A1B">
      <w:pPr>
        <w:pStyle w:val="Heading2"/>
        <w:widowControl w:val="0"/>
        <w:contextualSpacing w:val="0"/>
      </w:pPr>
      <w:bookmarkStart w:id="4" w:name="_ppp9rtlh6pvf" w:colFirst="0" w:colLast="0"/>
      <w:bookmarkEnd w:id="4"/>
      <w:r>
        <w:t>Prize</w:t>
      </w:r>
    </w:p>
    <w:p w14:paraId="32E7715C" w14:textId="055221DD" w:rsidR="00856FB8" w:rsidRDefault="00F81A1B">
      <w:pPr>
        <w:widowControl w:val="0"/>
        <w:rPr>
          <w:b/>
        </w:rPr>
      </w:pPr>
      <w:r>
        <w:t>A certificate will be given to each recipient; in addition, the</w:t>
      </w:r>
      <w:r w:rsidR="00F81467">
        <w:t xml:space="preserve"> prize for Young CLARIN Research</w:t>
      </w:r>
      <w:r w:rsidR="00E75DF7">
        <w:t>er</w:t>
      </w:r>
      <w:r>
        <w:t xml:space="preserve"> will be 500 Euro.</w:t>
      </w:r>
    </w:p>
    <w:p w14:paraId="73F4A252" w14:textId="77777777" w:rsidR="00856FB8" w:rsidRDefault="00F81A1B">
      <w:pPr>
        <w:pStyle w:val="Heading2"/>
        <w:contextualSpacing w:val="0"/>
      </w:pPr>
      <w:bookmarkStart w:id="5" w:name="_cyi4dvsgp2wi" w:colFirst="0" w:colLast="0"/>
      <w:bookmarkEnd w:id="5"/>
      <w:r>
        <w:t>Eligibility</w:t>
      </w:r>
    </w:p>
    <w:p w14:paraId="4404A3D2" w14:textId="14E3E4C3" w:rsidR="00145C7F" w:rsidRDefault="00F81A1B">
      <w:pPr>
        <w:widowControl w:val="0"/>
      </w:pPr>
      <w:r>
        <w:t xml:space="preserve">The award recipients must </w:t>
      </w:r>
      <w:r w:rsidR="00145C7F">
        <w:t xml:space="preserve">be researchers or engineers </w:t>
      </w:r>
      <w:r>
        <w:t>work</w:t>
      </w:r>
      <w:r w:rsidR="00145C7F">
        <w:t>ing</w:t>
      </w:r>
      <w:r>
        <w:t xml:space="preserve"> in any of the countries or regions covered by CLARIN ERIC memb</w:t>
      </w:r>
      <w:r w:rsidR="00145C7F">
        <w:t>ers, CLARIN ERIC observers or p</w:t>
      </w:r>
      <w:r>
        <w:t>artners that have an agreement with CLARIN ERIC according</w:t>
      </w:r>
      <w:r w:rsidR="00145C7F">
        <w:t xml:space="preserve"> to article 18 of the Statutes.</w:t>
      </w:r>
    </w:p>
    <w:p w14:paraId="0B042412" w14:textId="4D792DD4" w:rsidR="00856FB8" w:rsidRDefault="00E75DF7">
      <w:pPr>
        <w:widowControl w:val="0"/>
      </w:pPr>
      <w:r>
        <w:t>Each</w:t>
      </w:r>
      <w:r w:rsidR="00F81A1B">
        <w:t xml:space="preserve"> recipient of the award for Young CLARIN </w:t>
      </w:r>
      <w:r w:rsidR="00145C7F">
        <w:t>Researcher</w:t>
      </w:r>
      <w:r w:rsidR="00F81A1B">
        <w:t xml:space="preserve"> should not have reached the age of 35 years on </w:t>
      </w:r>
      <w:r w:rsidR="00C67AB3">
        <w:t>December 31</w:t>
      </w:r>
      <w:r>
        <w:t>, 2018</w:t>
      </w:r>
      <w:r w:rsidR="00F81A1B">
        <w:t>.</w:t>
      </w:r>
    </w:p>
    <w:p w14:paraId="012433B7" w14:textId="3CE006D7" w:rsidR="00145C7F" w:rsidRDefault="00E75DF7">
      <w:pPr>
        <w:widowControl w:val="0"/>
        <w:rPr>
          <w:b/>
        </w:rPr>
      </w:pPr>
      <w:r>
        <w:t>Each</w:t>
      </w:r>
      <w:r w:rsidR="00145C7F">
        <w:t xml:space="preserve"> recipient of the award for CLARIN achievements should be a single person or a group of </w:t>
      </w:r>
      <w:r>
        <w:t xml:space="preserve">named </w:t>
      </w:r>
      <w:r w:rsidR="00145C7F">
        <w:t xml:space="preserve">people who have </w:t>
      </w:r>
      <w:r w:rsidR="00E3365E">
        <w:t xml:space="preserve">closely </w:t>
      </w:r>
      <w:r w:rsidR="00145C7F">
        <w:t xml:space="preserve">cooperated </w:t>
      </w:r>
      <w:r w:rsidR="00A637B7">
        <w:t>with each other</w:t>
      </w:r>
      <w:r w:rsidR="00E3365E">
        <w:t>.</w:t>
      </w:r>
    </w:p>
    <w:p w14:paraId="38E878D1" w14:textId="77777777" w:rsidR="00856FB8" w:rsidRDefault="00F81A1B">
      <w:pPr>
        <w:pStyle w:val="Heading2"/>
        <w:widowControl w:val="0"/>
        <w:contextualSpacing w:val="0"/>
      </w:pPr>
      <w:bookmarkStart w:id="6" w:name="_lukw9jdxoxyv" w:colFirst="0" w:colLast="0"/>
      <w:bookmarkEnd w:id="6"/>
      <w:r>
        <w:lastRenderedPageBreak/>
        <w:t>Selection</w:t>
      </w:r>
    </w:p>
    <w:p w14:paraId="496FBF32" w14:textId="25D68A5E" w:rsidR="00856FB8" w:rsidRDefault="00F81A1B">
      <w:pPr>
        <w:widowControl w:val="0"/>
        <w:rPr>
          <w:b/>
        </w:rPr>
      </w:pPr>
      <w:r>
        <w:t xml:space="preserve">The recipients will be selected by the National Coordinators’ Forum </w:t>
      </w:r>
      <w:r w:rsidR="00177DFF">
        <w:t>(NCF) of CLARIN ERIC</w:t>
      </w:r>
      <w:r>
        <w:t>. The NCF is responsible for establishing the procedure for reviewing the nominees’ work and for selecting the award recipients.</w:t>
      </w:r>
    </w:p>
    <w:p w14:paraId="5F06AFC3" w14:textId="77777777" w:rsidR="00856FB8" w:rsidRDefault="00F81A1B">
      <w:pPr>
        <w:pStyle w:val="Heading2"/>
        <w:widowControl w:val="0"/>
        <w:contextualSpacing w:val="0"/>
      </w:pPr>
      <w:bookmarkStart w:id="7" w:name="_jm3wxgxxwak7" w:colFirst="0" w:colLast="0"/>
      <w:bookmarkEnd w:id="7"/>
      <w:r>
        <w:t>Presentation</w:t>
      </w:r>
    </w:p>
    <w:p w14:paraId="57AA120F" w14:textId="03345B05" w:rsidR="00856FB8" w:rsidRPr="00145C7F" w:rsidRDefault="00F81A1B">
      <w:pPr>
        <w:widowControl w:val="0"/>
      </w:pPr>
      <w:r>
        <w:t>There will be a prize ceremony at the CLARIN Annual Conference.</w:t>
      </w:r>
    </w:p>
    <w:p w14:paraId="3283AC35" w14:textId="77777777" w:rsidR="00856FB8" w:rsidRDefault="00F81A1B">
      <w:pPr>
        <w:pStyle w:val="Heading2"/>
        <w:widowControl w:val="0"/>
        <w:contextualSpacing w:val="0"/>
      </w:pPr>
      <w:bookmarkStart w:id="8" w:name="_gw2ip8vkavsq" w:colFirst="0" w:colLast="0"/>
      <w:bookmarkEnd w:id="8"/>
      <w:r>
        <w:t>Nomination</w:t>
      </w:r>
    </w:p>
    <w:p w14:paraId="51D7508B" w14:textId="528B127D" w:rsidR="00853ED2" w:rsidRDefault="00F81A1B">
      <w:pPr>
        <w:widowControl w:val="0"/>
      </w:pPr>
      <w:r>
        <w:t>Nominators and nominees must be working in the countries or regions covered by CLARIN ERIC membe</w:t>
      </w:r>
      <w:r w:rsidR="00517B7F">
        <w:t>rs or by CLARIN ERIC observers.</w:t>
      </w:r>
    </w:p>
    <w:p w14:paraId="0072302B" w14:textId="4C39D005" w:rsidR="00856FB8" w:rsidRDefault="00F81A1B">
      <w:pPr>
        <w:widowControl w:val="0"/>
      </w:pPr>
      <w:r>
        <w:t>Nominators should provide a</w:t>
      </w:r>
      <w:r w:rsidR="00FE31F0">
        <w:t xml:space="preserve"> written account of the nominee</w:t>
      </w:r>
      <w:r>
        <w:t>s</w:t>
      </w:r>
      <w:r w:rsidR="00FE31F0">
        <w:t>'</w:t>
      </w:r>
      <w:r>
        <w:t xml:space="preserve"> work and the reasons it is felt to be an outstanding contribution to CLARIN. A list of bibliogr</w:t>
      </w:r>
      <w:r w:rsidR="00907069">
        <w:t>aphic references to the nominee</w:t>
      </w:r>
      <w:r>
        <w:t>s</w:t>
      </w:r>
      <w:r w:rsidR="00907069">
        <w:t>'</w:t>
      </w:r>
      <w:r>
        <w:t xml:space="preserve"> work, relevant links to language resources, language tools, use cases, user involvement, knowledge sharing and/or other related activities by the nominee</w:t>
      </w:r>
      <w:r w:rsidR="00907069">
        <w:t>s</w:t>
      </w:r>
      <w:r>
        <w:t xml:space="preserve"> are desirable.</w:t>
      </w:r>
    </w:p>
    <w:p w14:paraId="37AE9CF7" w14:textId="3C4D1254" w:rsidR="00856FB8" w:rsidRDefault="00853ED2">
      <w:pPr>
        <w:widowControl w:val="0"/>
      </w:pPr>
      <w:r>
        <w:t>Nominations should state the</w:t>
      </w:r>
      <w:r w:rsidR="0073535C">
        <w:t xml:space="preserve"> names, </w:t>
      </w:r>
      <w:r>
        <w:t>affiliation</w:t>
      </w:r>
      <w:r w:rsidR="0073535C">
        <w:t>s</w:t>
      </w:r>
      <w:r>
        <w:t xml:space="preserve"> and contact details of all nominators and </w:t>
      </w:r>
      <w:r w:rsidR="00F81A1B">
        <w:t xml:space="preserve">should be sent to the Chair of the </w:t>
      </w:r>
      <w:r w:rsidR="00C8712E">
        <w:t>NCF</w:t>
      </w:r>
      <w:r w:rsidR="00517B7F">
        <w:t>, Maciej</w:t>
      </w:r>
      <w:r w:rsidR="00F81A1B">
        <w:t xml:space="preserve"> </w:t>
      </w:r>
      <w:r w:rsidR="00517B7F">
        <w:t>Piasecki, by e-mail to maciej.piasecki@pwr.edu.pl</w:t>
      </w:r>
      <w:r w:rsidR="00F81A1B">
        <w:t>.</w:t>
      </w:r>
      <w:r>
        <w:t xml:space="preserve"> </w:t>
      </w:r>
    </w:p>
    <w:p w14:paraId="40C8842D" w14:textId="74CBC4EA" w:rsidR="00856FB8" w:rsidRDefault="00F81A1B">
      <w:pPr>
        <w:pStyle w:val="Heading2"/>
        <w:widowControl w:val="0"/>
        <w:contextualSpacing w:val="0"/>
      </w:pPr>
      <w:bookmarkStart w:id="9" w:name="_wrbsm6at8fw1" w:colFirst="0" w:colLast="0"/>
      <w:bookmarkEnd w:id="9"/>
      <w:r>
        <w:t>Nomination Dea</w:t>
      </w:r>
      <w:r w:rsidR="00517B7F">
        <w:t>dline for 2018</w:t>
      </w:r>
    </w:p>
    <w:p w14:paraId="67838C7C" w14:textId="21D6DFAC" w:rsidR="00856FB8" w:rsidRDefault="00517B7F">
      <w:pPr>
        <w:widowControl w:val="0"/>
        <w:rPr>
          <w:b/>
        </w:rPr>
      </w:pPr>
      <w:r>
        <w:t>1st September, 2018</w:t>
      </w:r>
      <w:r w:rsidR="00825D80">
        <w:t xml:space="preserve">, </w:t>
      </w:r>
      <w:r w:rsidR="00866829">
        <w:t>13:00</w:t>
      </w:r>
      <w:r w:rsidR="00825D80">
        <w:t xml:space="preserve"> CET.</w:t>
      </w:r>
    </w:p>
    <w:sectPr w:rsidR="00856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2" w:right="1224" w:bottom="1152" w:left="122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4CC88" w14:textId="77777777" w:rsidR="00DF7FDE" w:rsidRDefault="00DF7FDE">
      <w:pPr>
        <w:spacing w:after="0" w:line="240" w:lineRule="auto"/>
      </w:pPr>
      <w:r>
        <w:separator/>
      </w:r>
    </w:p>
  </w:endnote>
  <w:endnote w:type="continuationSeparator" w:id="0">
    <w:p w14:paraId="0EA4E7E8" w14:textId="77777777" w:rsidR="00DF7FDE" w:rsidRDefault="00DF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6257" w14:textId="77777777" w:rsidR="00F81467" w:rsidRDefault="00F81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B069" w14:textId="77777777" w:rsidR="00856FB8" w:rsidRDefault="00856F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BC36" w14:textId="77777777" w:rsidR="00F81467" w:rsidRDefault="00F81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CA8EC" w14:textId="77777777" w:rsidR="00DF7FDE" w:rsidRDefault="00DF7FDE">
      <w:pPr>
        <w:spacing w:after="0" w:line="240" w:lineRule="auto"/>
      </w:pPr>
      <w:r>
        <w:separator/>
      </w:r>
    </w:p>
  </w:footnote>
  <w:footnote w:type="continuationSeparator" w:id="0">
    <w:p w14:paraId="53F7680B" w14:textId="77777777" w:rsidR="00DF7FDE" w:rsidRDefault="00DF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5170" w14:textId="77777777" w:rsidR="00F81467" w:rsidRDefault="00F81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3C3D" w14:textId="77777777" w:rsidR="00F81467" w:rsidRDefault="00F81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28C6" w14:textId="77777777" w:rsidR="00F81467" w:rsidRDefault="00F81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8"/>
    <w:rsid w:val="00145C7F"/>
    <w:rsid w:val="00177DFF"/>
    <w:rsid w:val="001B55F8"/>
    <w:rsid w:val="001D6D04"/>
    <w:rsid w:val="00314C5A"/>
    <w:rsid w:val="003E7E32"/>
    <w:rsid w:val="00425042"/>
    <w:rsid w:val="00442064"/>
    <w:rsid w:val="00491E27"/>
    <w:rsid w:val="004C5B63"/>
    <w:rsid w:val="00517B7F"/>
    <w:rsid w:val="005D568E"/>
    <w:rsid w:val="006A3B0E"/>
    <w:rsid w:val="0073535C"/>
    <w:rsid w:val="007D4D00"/>
    <w:rsid w:val="00814A68"/>
    <w:rsid w:val="00825D80"/>
    <w:rsid w:val="00837BE4"/>
    <w:rsid w:val="00853ED2"/>
    <w:rsid w:val="00856FB8"/>
    <w:rsid w:val="00865FF6"/>
    <w:rsid w:val="00866829"/>
    <w:rsid w:val="008B2A7F"/>
    <w:rsid w:val="00907069"/>
    <w:rsid w:val="00916CD6"/>
    <w:rsid w:val="00A53DC7"/>
    <w:rsid w:val="00A637B7"/>
    <w:rsid w:val="00B51983"/>
    <w:rsid w:val="00B5491C"/>
    <w:rsid w:val="00C65240"/>
    <w:rsid w:val="00C67AB3"/>
    <w:rsid w:val="00C8712E"/>
    <w:rsid w:val="00DF7FDE"/>
    <w:rsid w:val="00E3365E"/>
    <w:rsid w:val="00E440FD"/>
    <w:rsid w:val="00E75DF7"/>
    <w:rsid w:val="00F0371D"/>
    <w:rsid w:val="00F81467"/>
    <w:rsid w:val="00F81A1B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9E0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b/>
      <w:color w:val="39688B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67AB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7AB3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81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67"/>
  </w:style>
  <w:style w:type="paragraph" w:styleId="Footer">
    <w:name w:val="footer"/>
    <w:basedOn w:val="Normal"/>
    <w:link w:val="FooterChar"/>
    <w:uiPriority w:val="99"/>
    <w:unhideWhenUsed/>
    <w:rsid w:val="00F81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B9F604FA</Template>
  <TotalTime>0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Backx, Q.A.J. (Quirijn)</dc:creator>
  <cp:lastModifiedBy>Backx, Q.A.J. (Quirijn)</cp:lastModifiedBy>
  <cp:revision>3</cp:revision>
  <dcterms:created xsi:type="dcterms:W3CDTF">2018-06-27T14:30:00Z</dcterms:created>
  <dcterms:modified xsi:type="dcterms:W3CDTF">2018-06-27T14:32:00Z</dcterms:modified>
</cp:coreProperties>
</file>