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991"/>
        <w:gridCol w:w="3063"/>
      </w:tblGrid>
      <w:tr w:rsidR="00F64DF2" w14:paraId="764A4DB2" w14:textId="77777777" w:rsidTr="00F64DF2">
        <w:trPr>
          <w:cantSplit/>
        </w:trPr>
        <w:tc>
          <w:tcPr>
            <w:tcW w:w="1462" w:type="dxa"/>
          </w:tcPr>
          <w:p w14:paraId="01D7C71F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991" w:type="dxa"/>
          </w:tcPr>
          <w:p w14:paraId="4DFEAC5B" w14:textId="77777777" w:rsidR="00F64DF2" w:rsidRDefault="00DD2D8C" w:rsidP="002149D1">
            <w:r w:rsidRPr="00DD2D8C">
              <w:rPr>
                <w:lang w:eastAsia="en-US"/>
              </w:rPr>
              <w:t xml:space="preserve">Centre Committee </w:t>
            </w:r>
            <w:proofErr w:type="spellStart"/>
            <w:r w:rsidRPr="00DD2D8C">
              <w:rPr>
                <w:lang w:eastAsia="en-US"/>
              </w:rPr>
              <w:t>workplan</w:t>
            </w:r>
            <w:proofErr w:type="spellEnd"/>
            <w:r w:rsidRPr="00DD2D8C">
              <w:rPr>
                <w:lang w:eastAsia="en-US"/>
              </w:rPr>
              <w:t xml:space="preserve"> for 2018</w:t>
            </w:r>
          </w:p>
        </w:tc>
        <w:tc>
          <w:tcPr>
            <w:tcW w:w="3063" w:type="dxa"/>
            <w:vMerge w:val="restart"/>
          </w:tcPr>
          <w:p w14:paraId="3E26EC76" w14:textId="77777777" w:rsidR="00F64DF2" w:rsidRDefault="00F64DF2" w:rsidP="006F572F">
            <w:pPr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5210FA01" wp14:editId="7053E8D4">
                  <wp:extent cx="1739900" cy="1155700"/>
                  <wp:effectExtent l="0" t="0" r="12700" b="1270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F2" w14:paraId="75AD0186" w14:textId="77777777" w:rsidTr="00F64DF2">
        <w:trPr>
          <w:cantSplit/>
        </w:trPr>
        <w:tc>
          <w:tcPr>
            <w:tcW w:w="1462" w:type="dxa"/>
          </w:tcPr>
          <w:p w14:paraId="1B9395E9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991" w:type="dxa"/>
          </w:tcPr>
          <w:p w14:paraId="07EAC305" w14:textId="275BF9EA" w:rsidR="00F64DF2" w:rsidRDefault="00434599" w:rsidP="002149D1">
            <w:r>
              <w:t>3</w:t>
            </w:r>
          </w:p>
        </w:tc>
        <w:tc>
          <w:tcPr>
            <w:tcW w:w="3063" w:type="dxa"/>
            <w:vMerge/>
          </w:tcPr>
          <w:p w14:paraId="54485335" w14:textId="77777777" w:rsidR="00F64DF2" w:rsidRDefault="00F64DF2" w:rsidP="006F572F">
            <w:pPr>
              <w:jc w:val="both"/>
            </w:pPr>
          </w:p>
        </w:tc>
      </w:tr>
      <w:tr w:rsidR="00F64DF2" w14:paraId="2C5AEA4E" w14:textId="77777777" w:rsidTr="00F64DF2">
        <w:trPr>
          <w:cantSplit/>
        </w:trPr>
        <w:tc>
          <w:tcPr>
            <w:tcW w:w="1462" w:type="dxa"/>
          </w:tcPr>
          <w:p w14:paraId="092079C1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3991" w:type="dxa"/>
          </w:tcPr>
          <w:p w14:paraId="3DEB8F32" w14:textId="77777777" w:rsidR="00A569E2" w:rsidRDefault="00A569E2" w:rsidP="00F53704">
            <w:r>
              <w:t>Dieter Van Uytvanck</w:t>
            </w:r>
          </w:p>
        </w:tc>
        <w:tc>
          <w:tcPr>
            <w:tcW w:w="3063" w:type="dxa"/>
            <w:vMerge/>
          </w:tcPr>
          <w:p w14:paraId="10E13FD8" w14:textId="77777777" w:rsidR="00F64DF2" w:rsidRDefault="00F64DF2" w:rsidP="006F572F">
            <w:pPr>
              <w:jc w:val="both"/>
            </w:pPr>
          </w:p>
        </w:tc>
      </w:tr>
      <w:tr w:rsidR="00F64DF2" w14:paraId="092C2FE0" w14:textId="77777777" w:rsidTr="00F64DF2">
        <w:trPr>
          <w:cantSplit/>
        </w:trPr>
        <w:tc>
          <w:tcPr>
            <w:tcW w:w="1462" w:type="dxa"/>
          </w:tcPr>
          <w:p w14:paraId="36DB8BF3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91" w:type="dxa"/>
          </w:tcPr>
          <w:p w14:paraId="1F94CC69" w14:textId="7FBC6883" w:rsidR="00F64DF2" w:rsidRDefault="00434599" w:rsidP="002149D1">
            <w:r>
              <w:t>2017-12-14</w:t>
            </w:r>
          </w:p>
        </w:tc>
        <w:tc>
          <w:tcPr>
            <w:tcW w:w="3063" w:type="dxa"/>
            <w:vMerge/>
          </w:tcPr>
          <w:p w14:paraId="2A729789" w14:textId="77777777" w:rsidR="00F64DF2" w:rsidRDefault="00F64DF2" w:rsidP="006F572F">
            <w:pPr>
              <w:jc w:val="both"/>
            </w:pPr>
          </w:p>
        </w:tc>
      </w:tr>
      <w:tr w:rsidR="00F64DF2" w14:paraId="04886934" w14:textId="77777777" w:rsidTr="00F64DF2">
        <w:trPr>
          <w:cantSplit/>
        </w:trPr>
        <w:tc>
          <w:tcPr>
            <w:tcW w:w="1462" w:type="dxa"/>
          </w:tcPr>
          <w:p w14:paraId="7F355453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991" w:type="dxa"/>
          </w:tcPr>
          <w:p w14:paraId="3BF0FDF2" w14:textId="23282AF0" w:rsidR="00F64DF2" w:rsidRDefault="00C02B0A" w:rsidP="00F53704">
            <w:r>
              <w:t>Approved</w:t>
            </w:r>
          </w:p>
        </w:tc>
        <w:tc>
          <w:tcPr>
            <w:tcW w:w="3063" w:type="dxa"/>
            <w:vMerge/>
          </w:tcPr>
          <w:p w14:paraId="274B0841" w14:textId="77777777" w:rsidR="00F64DF2" w:rsidRDefault="00F64DF2" w:rsidP="006F572F">
            <w:pPr>
              <w:jc w:val="both"/>
            </w:pPr>
          </w:p>
        </w:tc>
      </w:tr>
      <w:tr w:rsidR="00F64DF2" w14:paraId="16F23A2E" w14:textId="77777777" w:rsidTr="00F64DF2">
        <w:trPr>
          <w:cantSplit/>
        </w:trPr>
        <w:tc>
          <w:tcPr>
            <w:tcW w:w="1462" w:type="dxa"/>
          </w:tcPr>
          <w:p w14:paraId="00389D3A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Distribution</w:t>
            </w:r>
          </w:p>
        </w:tc>
        <w:tc>
          <w:tcPr>
            <w:tcW w:w="3991" w:type="dxa"/>
          </w:tcPr>
          <w:p w14:paraId="16F4696E" w14:textId="3525A1AE" w:rsidR="00F64DF2" w:rsidRDefault="00670465" w:rsidP="00F53704">
            <w:r>
              <w:t>SCCTC</w:t>
            </w:r>
          </w:p>
        </w:tc>
        <w:tc>
          <w:tcPr>
            <w:tcW w:w="3063" w:type="dxa"/>
            <w:vMerge/>
          </w:tcPr>
          <w:p w14:paraId="397D4CA5" w14:textId="77777777" w:rsidR="00F64DF2" w:rsidRDefault="00F64DF2" w:rsidP="006F572F">
            <w:pPr>
              <w:jc w:val="both"/>
            </w:pPr>
          </w:p>
        </w:tc>
      </w:tr>
      <w:tr w:rsidR="00F64DF2" w14:paraId="62C6977A" w14:textId="77777777" w:rsidTr="00F64DF2">
        <w:trPr>
          <w:cantSplit/>
        </w:trPr>
        <w:tc>
          <w:tcPr>
            <w:tcW w:w="1462" w:type="dxa"/>
            <w:tcBorders>
              <w:bottom w:val="single" w:sz="4" w:space="0" w:color="auto"/>
            </w:tcBorders>
          </w:tcPr>
          <w:p w14:paraId="65AEB367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7A255533" w14:textId="77777777" w:rsidR="00F64DF2" w:rsidRDefault="00EA6820" w:rsidP="00CA3E2A">
            <w:r w:rsidRPr="00EA6820">
              <w:t>CE-2017-1099</w:t>
            </w:r>
          </w:p>
        </w:tc>
        <w:tc>
          <w:tcPr>
            <w:tcW w:w="3063" w:type="dxa"/>
            <w:vMerge/>
            <w:tcBorders>
              <w:bottom w:val="single" w:sz="4" w:space="0" w:color="auto"/>
            </w:tcBorders>
          </w:tcPr>
          <w:p w14:paraId="05427D1E" w14:textId="77777777" w:rsidR="00F64DF2" w:rsidRDefault="00F64DF2" w:rsidP="006F572F">
            <w:pPr>
              <w:jc w:val="both"/>
            </w:pPr>
          </w:p>
        </w:tc>
      </w:tr>
    </w:tbl>
    <w:p w14:paraId="7FB86E51" w14:textId="791E6172" w:rsidR="00670465" w:rsidRDefault="00670465" w:rsidP="00670465">
      <w:pPr>
        <w:pStyle w:val="Heading1"/>
      </w:pPr>
      <w:bookmarkStart w:id="0" w:name="_GoBack"/>
      <w:bookmarkEnd w:id="0"/>
      <w:r>
        <w:t xml:space="preserve">Project </w:t>
      </w:r>
      <w:r w:rsidR="003C582D">
        <w:t>activities</w:t>
      </w:r>
    </w:p>
    <w:p w14:paraId="71473FD7" w14:textId="77777777" w:rsidR="00304F7F" w:rsidRDefault="00304F7F" w:rsidP="00304F7F"/>
    <w:p w14:paraId="485E7830" w14:textId="386DC632" w:rsidR="00304F7F" w:rsidRDefault="00304F7F" w:rsidP="007F0639">
      <w:pPr>
        <w:ind w:left="1440" w:hanging="1440"/>
      </w:pPr>
      <w:r w:rsidRPr="00304F7F">
        <w:rPr>
          <w:b/>
        </w:rPr>
        <w:t>What:</w:t>
      </w:r>
      <w:r>
        <w:t xml:space="preserve"> </w:t>
      </w:r>
      <w:r w:rsidR="007F0639">
        <w:tab/>
      </w:r>
      <w:r>
        <w:t xml:space="preserve">These tasks come as part of the Horizon2020 projects CLARIN ERIC is participating in. </w:t>
      </w:r>
    </w:p>
    <w:p w14:paraId="556921AD" w14:textId="66592F26" w:rsidR="00304F7F" w:rsidRPr="00304F7F" w:rsidRDefault="00304F7F" w:rsidP="00304F7F">
      <w:r w:rsidRPr="00304F7F">
        <w:rPr>
          <w:b/>
        </w:rPr>
        <w:t>Who:</w:t>
      </w:r>
      <w:r>
        <w:t xml:space="preserve"> </w:t>
      </w:r>
      <w:r w:rsidR="007F0639">
        <w:tab/>
      </w:r>
      <w:r w:rsidR="007F0639">
        <w:tab/>
      </w:r>
      <w:r>
        <w:t>They will be performed by the project partners</w:t>
      </w:r>
    </w:p>
    <w:p w14:paraId="616D1F05" w14:textId="77777777" w:rsidR="00670465" w:rsidRDefault="00670465" w:rsidP="00CA3E2A">
      <w:pPr>
        <w:pStyle w:val="ListParagraph"/>
        <w:ind w:left="0"/>
      </w:pPr>
    </w:p>
    <w:p w14:paraId="699C8644" w14:textId="1B5C78C4" w:rsidR="00F16C81" w:rsidRDefault="00F16C81" w:rsidP="00CA3E2A">
      <w:pPr>
        <w:pStyle w:val="ListParagraph"/>
        <w:ind w:left="0"/>
      </w:pPr>
      <w:r>
        <w:t>September – December 2017:</w:t>
      </w:r>
    </w:p>
    <w:p w14:paraId="6F1B2785" w14:textId="6AA0BC04" w:rsidR="00AD19DD" w:rsidRDefault="00F16C81" w:rsidP="00F16C81">
      <w:pPr>
        <w:pStyle w:val="ListParagraph"/>
        <w:numPr>
          <w:ilvl w:val="0"/>
          <w:numId w:val="24"/>
        </w:numPr>
      </w:pPr>
      <w:r>
        <w:t>Finishing</w:t>
      </w:r>
      <w:r w:rsidR="00AD19DD">
        <w:t xml:space="preserve"> and polishing </w:t>
      </w:r>
      <w:r>
        <w:t xml:space="preserve">the work on </w:t>
      </w:r>
      <w:r w:rsidR="00AD19DD">
        <w:t>CLARIN</w:t>
      </w:r>
      <w:r>
        <w:t xml:space="preserve"> applications in the context of CLARIN-PLUS</w:t>
      </w:r>
    </w:p>
    <w:p w14:paraId="750FFEC3" w14:textId="52568B1C" w:rsidR="00AD19DD" w:rsidRDefault="00AD19DD" w:rsidP="00AD19DD">
      <w:pPr>
        <w:pStyle w:val="ListParagraph"/>
        <w:numPr>
          <w:ilvl w:val="1"/>
          <w:numId w:val="24"/>
        </w:numPr>
      </w:pPr>
      <w:r>
        <w:t>FCS Aggregator: intensive testing of the new version, testing endpoints, apply new base style to the GUI</w:t>
      </w:r>
    </w:p>
    <w:p w14:paraId="44EEE1E2" w14:textId="438FCBA8" w:rsidR="00F16C81" w:rsidRDefault="00F16C81" w:rsidP="00AD19DD">
      <w:pPr>
        <w:pStyle w:val="ListParagraph"/>
        <w:numPr>
          <w:ilvl w:val="1"/>
          <w:numId w:val="24"/>
        </w:numPr>
      </w:pPr>
      <w:r>
        <w:t>Virtual Collection</w:t>
      </w:r>
      <w:r w:rsidR="00AD19DD">
        <w:t xml:space="preserve"> Registry: deploy the</w:t>
      </w:r>
      <w:r w:rsidR="00C255B4">
        <w:t xml:space="preserve"> revamped version</w:t>
      </w:r>
      <w:r w:rsidR="004D0509">
        <w:t xml:space="preserve"> as beta</w:t>
      </w:r>
      <w:r w:rsidR="00C255B4">
        <w:t>, after</w:t>
      </w:r>
      <w:r w:rsidR="004D0509">
        <w:t>wards intensive testing</w:t>
      </w:r>
    </w:p>
    <w:p w14:paraId="77B61D54" w14:textId="4C64C8E0" w:rsidR="00AD19DD" w:rsidRDefault="00AD19DD" w:rsidP="00AD19DD">
      <w:pPr>
        <w:pStyle w:val="ListParagraph"/>
        <w:numPr>
          <w:ilvl w:val="1"/>
          <w:numId w:val="24"/>
        </w:numPr>
      </w:pPr>
      <w:r>
        <w:t>Virtual Language Observatory</w:t>
      </w:r>
      <w:r w:rsidR="00A324B3">
        <w:t xml:space="preserve">: work on the </w:t>
      </w:r>
      <w:hyperlink r:id="rId8" w:history="1">
        <w:r w:rsidR="00A324B3" w:rsidRPr="00A324B3">
          <w:rPr>
            <w:rStyle w:val="Hyperlink"/>
          </w:rPr>
          <w:t>VLO 4.3 milestone</w:t>
        </w:r>
      </w:hyperlink>
      <w:r w:rsidR="004C2279">
        <w:rPr>
          <w:rStyle w:val="Hyperlink"/>
        </w:rPr>
        <w:t>, deployment of version 4.3.0 in production</w:t>
      </w:r>
    </w:p>
    <w:p w14:paraId="20900593" w14:textId="1A0173CF" w:rsidR="00AD19DD" w:rsidRDefault="00AD19DD" w:rsidP="00AD19DD">
      <w:pPr>
        <w:pStyle w:val="ListParagraph"/>
        <w:numPr>
          <w:ilvl w:val="1"/>
          <w:numId w:val="24"/>
        </w:numPr>
      </w:pPr>
      <w:r>
        <w:t>Language Resource Switchboard</w:t>
      </w:r>
      <w:r w:rsidR="004E7459">
        <w:t>: streamlining the GUI</w:t>
      </w:r>
      <w:r w:rsidR="00304F7F">
        <w:t xml:space="preserve">, </w:t>
      </w:r>
      <w:proofErr w:type="spellStart"/>
      <w:r w:rsidR="00304F7F">
        <w:t>testdriving</w:t>
      </w:r>
      <w:proofErr w:type="spellEnd"/>
      <w:r w:rsidR="00304F7F">
        <w:t xml:space="preserve"> deployments with D</w:t>
      </w:r>
      <w:r w:rsidR="004E7459">
        <w:t>ocker, testing connections, adding tools</w:t>
      </w:r>
    </w:p>
    <w:p w14:paraId="545A36C1" w14:textId="65E5EC03" w:rsidR="00B53710" w:rsidRDefault="00BD69FF" w:rsidP="00B53710">
      <w:pPr>
        <w:pStyle w:val="ListParagraph"/>
        <w:numPr>
          <w:ilvl w:val="0"/>
          <w:numId w:val="24"/>
        </w:numPr>
      </w:pPr>
      <w:r>
        <w:t>Continuing the work in EUDAT2020</w:t>
      </w:r>
      <w:r w:rsidR="00B53710">
        <w:t xml:space="preserve"> (until end of February 2018)</w:t>
      </w:r>
    </w:p>
    <w:p w14:paraId="2CBA00DD" w14:textId="0CEF2662" w:rsidR="00BD69FF" w:rsidRDefault="00BD69FF" w:rsidP="00BD69FF">
      <w:pPr>
        <w:pStyle w:val="ListParagraph"/>
        <w:numPr>
          <w:ilvl w:val="1"/>
          <w:numId w:val="24"/>
        </w:numPr>
      </w:pPr>
      <w:r>
        <w:t>Uptake of B2SAFE (</w:t>
      </w:r>
      <w:proofErr w:type="spellStart"/>
      <w:r>
        <w:t>iRODS</w:t>
      </w:r>
      <w:proofErr w:type="spellEnd"/>
      <w:r>
        <w:t xml:space="preserve">) at CLARIN </w:t>
      </w:r>
      <w:proofErr w:type="spellStart"/>
      <w:r>
        <w:t>centres</w:t>
      </w:r>
      <w:proofErr w:type="spellEnd"/>
      <w:r>
        <w:t xml:space="preserve"> that expressed interest</w:t>
      </w:r>
    </w:p>
    <w:p w14:paraId="43436E66" w14:textId="184D9DFF" w:rsidR="00BD69FF" w:rsidRDefault="00BD69FF" w:rsidP="00BD69FF">
      <w:pPr>
        <w:pStyle w:val="ListParagraph"/>
        <w:numPr>
          <w:ilvl w:val="1"/>
          <w:numId w:val="24"/>
        </w:numPr>
      </w:pPr>
      <w:r>
        <w:t xml:space="preserve">Development of B2SAFE connector (via the HTTP-API) to </w:t>
      </w:r>
      <w:proofErr w:type="spellStart"/>
      <w:r>
        <w:t>DSpace</w:t>
      </w:r>
      <w:proofErr w:type="spellEnd"/>
    </w:p>
    <w:p w14:paraId="1F9CFB3B" w14:textId="47B8A92B" w:rsidR="00B53710" w:rsidRDefault="00BD69FF" w:rsidP="00B53710">
      <w:pPr>
        <w:pStyle w:val="ListParagraph"/>
        <w:numPr>
          <w:ilvl w:val="1"/>
          <w:numId w:val="24"/>
        </w:numPr>
      </w:pPr>
      <w:r>
        <w:t>Integrating the LR Switchboard plugin in B2DROP</w:t>
      </w:r>
    </w:p>
    <w:p w14:paraId="32440438" w14:textId="56DC5CD7" w:rsidR="00046229" w:rsidRDefault="00B53710" w:rsidP="00C57FFD">
      <w:pPr>
        <w:pStyle w:val="ListParagraph"/>
        <w:numPr>
          <w:ilvl w:val="1"/>
          <w:numId w:val="24"/>
        </w:numPr>
      </w:pPr>
      <w:r>
        <w:t>Find out whether it makes sense to setup a CLARIN-specific B2DROP via EUDAT (or something alternative)</w:t>
      </w:r>
    </w:p>
    <w:p w14:paraId="26BD0C59" w14:textId="77777777" w:rsidR="00C57FFD" w:rsidRDefault="00C57FFD" w:rsidP="00C57FFD"/>
    <w:p w14:paraId="4335B15E" w14:textId="27F33593" w:rsidR="00C57FFD" w:rsidRDefault="00C57FFD" w:rsidP="00C57FFD">
      <w:r>
        <w:t>January 2018 – December 2018</w:t>
      </w:r>
      <w:r w:rsidR="00E04377">
        <w:t>:</w:t>
      </w:r>
    </w:p>
    <w:p w14:paraId="5EF2E976" w14:textId="1ECB4D4D" w:rsidR="00E04377" w:rsidRDefault="00E04377" w:rsidP="00E04377">
      <w:pPr>
        <w:pStyle w:val="ListParagraph"/>
        <w:numPr>
          <w:ilvl w:val="0"/>
          <w:numId w:val="26"/>
        </w:numPr>
      </w:pPr>
      <w:r>
        <w:t>Starting the work in EOSC-hub</w:t>
      </w:r>
      <w:r w:rsidR="005F76C3">
        <w:t xml:space="preserve">, as described in the </w:t>
      </w:r>
      <w:hyperlink r:id="rId9" w:history="1">
        <w:r w:rsidR="005F76C3" w:rsidRPr="005F76C3">
          <w:rPr>
            <w:rStyle w:val="Hyperlink"/>
          </w:rPr>
          <w:t>Task 7.1 roadmap</w:t>
        </w:r>
      </w:hyperlink>
      <w:r>
        <w:t>:</w:t>
      </w:r>
    </w:p>
    <w:p w14:paraId="4AD6CA2E" w14:textId="7DB07F5F" w:rsidR="00E04377" w:rsidRDefault="00E04377" w:rsidP="00E04377">
      <w:pPr>
        <w:pStyle w:val="ListParagraph"/>
        <w:numPr>
          <w:ilvl w:val="1"/>
          <w:numId w:val="26"/>
        </w:numPr>
      </w:pPr>
      <w:r>
        <w:t>Integration of the Virtual Language Observatory</w:t>
      </w:r>
    </w:p>
    <w:p w14:paraId="58F651EF" w14:textId="5BD1B1EC" w:rsidR="00E04377" w:rsidRDefault="00E04377" w:rsidP="00E04377">
      <w:pPr>
        <w:pStyle w:val="ListParagraph"/>
        <w:numPr>
          <w:ilvl w:val="1"/>
          <w:numId w:val="26"/>
        </w:numPr>
      </w:pPr>
      <w:r>
        <w:t>Integration of the Virtual Collection Registry</w:t>
      </w:r>
    </w:p>
    <w:p w14:paraId="5EE296D2" w14:textId="41C3CCE9" w:rsidR="007247CA" w:rsidRDefault="00E04377" w:rsidP="007247CA">
      <w:pPr>
        <w:pStyle w:val="ListParagraph"/>
        <w:numPr>
          <w:ilvl w:val="1"/>
          <w:numId w:val="26"/>
        </w:numPr>
      </w:pPr>
      <w:r>
        <w:t>Integration of the Language Resource Switchboard</w:t>
      </w:r>
    </w:p>
    <w:p w14:paraId="2C6C7479" w14:textId="7405B810" w:rsidR="00134FAD" w:rsidRDefault="00670465" w:rsidP="00134FAD">
      <w:pPr>
        <w:pStyle w:val="Heading1"/>
      </w:pPr>
      <w:r>
        <w:t xml:space="preserve">Central infrastructure </w:t>
      </w:r>
      <w:r w:rsidR="003C582D">
        <w:t>activities</w:t>
      </w:r>
    </w:p>
    <w:p w14:paraId="099CD346" w14:textId="71FEC353" w:rsidR="00134FAD" w:rsidRDefault="00134FAD" w:rsidP="00134FAD">
      <w:pPr>
        <w:ind w:left="1440" w:hanging="1440"/>
      </w:pPr>
      <w:r w:rsidRPr="00304F7F">
        <w:rPr>
          <w:b/>
        </w:rPr>
        <w:t>What:</w:t>
      </w:r>
      <w:r>
        <w:t xml:space="preserve"> </w:t>
      </w:r>
      <w:r>
        <w:tab/>
        <w:t>Tasks pertaining to the central infrastructure components</w:t>
      </w:r>
    </w:p>
    <w:p w14:paraId="57BD0605" w14:textId="4A59D826" w:rsidR="00134FAD" w:rsidRPr="00134FAD" w:rsidRDefault="00134FAD" w:rsidP="00134FAD">
      <w:r w:rsidRPr="00304F7F">
        <w:rPr>
          <w:b/>
        </w:rPr>
        <w:t>Who:</w:t>
      </w:r>
      <w:r>
        <w:t xml:space="preserve"> </w:t>
      </w:r>
      <w:r>
        <w:tab/>
      </w:r>
      <w:r>
        <w:tab/>
        <w:t xml:space="preserve">Mostly the central developers team (André, </w:t>
      </w:r>
      <w:proofErr w:type="spellStart"/>
      <w:r>
        <w:t>Menzo</w:t>
      </w:r>
      <w:proofErr w:type="spellEnd"/>
      <w:r>
        <w:t xml:space="preserve">, </w:t>
      </w:r>
      <w:proofErr w:type="spellStart"/>
      <w:r>
        <w:t>Twan</w:t>
      </w:r>
      <w:proofErr w:type="spellEnd"/>
      <w:r>
        <w:t>, Willem)</w:t>
      </w:r>
    </w:p>
    <w:p w14:paraId="35829558" w14:textId="77777777" w:rsidR="00670465" w:rsidRDefault="00670465" w:rsidP="007247CA"/>
    <w:p w14:paraId="5A339148" w14:textId="77777777" w:rsidR="007247CA" w:rsidRDefault="007247CA" w:rsidP="007247CA">
      <w:r>
        <w:t>Miscellaneous suggestions:</w:t>
      </w:r>
    </w:p>
    <w:p w14:paraId="07595A71" w14:textId="77777777" w:rsidR="007247CA" w:rsidRDefault="007247CA" w:rsidP="007247CA">
      <w:pPr>
        <w:pStyle w:val="ListParagraph"/>
        <w:numPr>
          <w:ilvl w:val="0"/>
          <w:numId w:val="25"/>
        </w:numPr>
      </w:pPr>
      <w:r>
        <w:t>Centre registry:</w:t>
      </w:r>
    </w:p>
    <w:p w14:paraId="09EF537B" w14:textId="77777777" w:rsidR="007247CA" w:rsidRDefault="007247CA" w:rsidP="007247CA">
      <w:pPr>
        <w:pStyle w:val="ListParagraph"/>
        <w:numPr>
          <w:ilvl w:val="1"/>
          <w:numId w:val="25"/>
        </w:numPr>
      </w:pPr>
      <w:r>
        <w:t>Checking all the entries</w:t>
      </w:r>
    </w:p>
    <w:p w14:paraId="3D625287" w14:textId="77777777" w:rsidR="007247CA" w:rsidRDefault="007247CA" w:rsidP="007247CA">
      <w:pPr>
        <w:pStyle w:val="ListParagraph"/>
        <w:numPr>
          <w:ilvl w:val="1"/>
          <w:numId w:val="25"/>
        </w:numPr>
      </w:pPr>
      <w:r>
        <w:t>Migrating the part for human consumption (</w:t>
      </w:r>
      <w:proofErr w:type="spellStart"/>
      <w:r>
        <w:t>centre</w:t>
      </w:r>
      <w:proofErr w:type="spellEnd"/>
      <w:r>
        <w:t xml:space="preserve"> list, maps, contact persons) to </w:t>
      </w:r>
      <w:hyperlink r:id="rId10" w:history="1">
        <w:r w:rsidRPr="004642BA">
          <w:rPr>
            <w:rStyle w:val="Hyperlink"/>
          </w:rPr>
          <w:t>www.clarin.eu</w:t>
        </w:r>
      </w:hyperlink>
      <w:r>
        <w:t xml:space="preserve"> – keep focus on API-based access</w:t>
      </w:r>
    </w:p>
    <w:p w14:paraId="52FBF766" w14:textId="77777777" w:rsidR="007247CA" w:rsidRDefault="007247CA" w:rsidP="007247CA">
      <w:pPr>
        <w:pStyle w:val="ListParagraph"/>
        <w:numPr>
          <w:ilvl w:val="0"/>
          <w:numId w:val="25"/>
        </w:numPr>
      </w:pPr>
      <w:r>
        <w:t>AAI:</w:t>
      </w:r>
    </w:p>
    <w:p w14:paraId="274EDAC0" w14:textId="3660AE4A" w:rsidR="007247CA" w:rsidRDefault="007247CA" w:rsidP="007247CA">
      <w:pPr>
        <w:pStyle w:val="ListParagraph"/>
        <w:numPr>
          <w:ilvl w:val="1"/>
          <w:numId w:val="25"/>
        </w:numPr>
      </w:pPr>
      <w:r>
        <w:t>Apply base style to discovery service</w:t>
      </w:r>
      <w:r w:rsidR="00434599">
        <w:t xml:space="preserve">, consider a light alternative to </w:t>
      </w:r>
      <w:proofErr w:type="spellStart"/>
      <w:r w:rsidR="00434599">
        <w:t>DiscoJuice</w:t>
      </w:r>
      <w:proofErr w:type="spellEnd"/>
    </w:p>
    <w:p w14:paraId="172ABF29" w14:textId="77777777" w:rsidR="007247CA" w:rsidRDefault="007247CA" w:rsidP="007247CA">
      <w:pPr>
        <w:pStyle w:val="ListParagraph"/>
        <w:numPr>
          <w:ilvl w:val="0"/>
          <w:numId w:val="25"/>
        </w:numPr>
      </w:pPr>
      <w:r>
        <w:lastRenderedPageBreak/>
        <w:t>Monitoring:</w:t>
      </w:r>
    </w:p>
    <w:p w14:paraId="013B4786" w14:textId="55984781" w:rsidR="007247CA" w:rsidRDefault="007247CA" w:rsidP="007247CA">
      <w:pPr>
        <w:pStyle w:val="ListParagraph"/>
        <w:numPr>
          <w:ilvl w:val="1"/>
          <w:numId w:val="25"/>
        </w:numPr>
      </w:pPr>
      <w:r>
        <w:t xml:space="preserve">Remove duplicated checks from </w:t>
      </w:r>
      <w:proofErr w:type="spellStart"/>
      <w:r>
        <w:t>Icinga</w:t>
      </w:r>
      <w:proofErr w:type="spellEnd"/>
      <w:r w:rsidR="00FB0921">
        <w:t>, streamline configuration</w:t>
      </w:r>
    </w:p>
    <w:p w14:paraId="0B681138" w14:textId="04206857" w:rsidR="00272495" w:rsidRDefault="00272495" w:rsidP="00434599">
      <w:pPr>
        <w:pStyle w:val="ListParagraph"/>
        <w:numPr>
          <w:ilvl w:val="0"/>
          <w:numId w:val="25"/>
        </w:numPr>
      </w:pPr>
      <w:r>
        <w:t>(Further) containerization of services</w:t>
      </w:r>
    </w:p>
    <w:p w14:paraId="3269445F" w14:textId="1B6DE416" w:rsidR="00272495" w:rsidRDefault="00272495" w:rsidP="00272495">
      <w:pPr>
        <w:pStyle w:val="ListParagraph"/>
        <w:numPr>
          <w:ilvl w:val="1"/>
          <w:numId w:val="25"/>
        </w:numPr>
      </w:pPr>
      <w:r>
        <w:t xml:space="preserve">Making services more portable for easier development and maintenance, better availability, and making them available for </w:t>
      </w:r>
      <w:proofErr w:type="spellStart"/>
      <w:r>
        <w:t>centres</w:t>
      </w:r>
      <w:proofErr w:type="spellEnd"/>
      <w:r>
        <w:t xml:space="preserve">/third parties (e.g. for development/testing/integration purposes – could tie in with </w:t>
      </w:r>
      <w:r>
        <w:fldChar w:fldCharType="begin"/>
      </w:r>
      <w:r>
        <w:instrText xml:space="preserve"> REF _Ref500408025 \w \h </w:instrText>
      </w:r>
      <w:r>
        <w:fldChar w:fldCharType="separate"/>
      </w:r>
      <w:r>
        <w:t>3.2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_Ref500408025 \h </w:instrText>
      </w:r>
      <w:r>
        <w:fldChar w:fldCharType="separate"/>
      </w:r>
      <w:r>
        <w:t>Integration documentation</w:t>
      </w:r>
      <w:r>
        <w:fldChar w:fldCharType="end"/>
      </w:r>
      <w:r>
        <w:t>)</w:t>
      </w:r>
    </w:p>
    <w:p w14:paraId="0F98E116" w14:textId="15778280" w:rsidR="00670465" w:rsidRDefault="00670465" w:rsidP="00670465">
      <w:pPr>
        <w:pStyle w:val="Heading1"/>
      </w:pPr>
      <w:r>
        <w:t xml:space="preserve">Documentation and communication </w:t>
      </w:r>
      <w:r w:rsidR="00134FAD">
        <w:t>activities</w:t>
      </w:r>
    </w:p>
    <w:p w14:paraId="0F63312D" w14:textId="77777777" w:rsidR="00134FAD" w:rsidRDefault="00134FAD" w:rsidP="00134FAD">
      <w:pPr>
        <w:ind w:left="1440" w:hanging="1440"/>
      </w:pPr>
      <w:r w:rsidRPr="00304F7F">
        <w:rPr>
          <w:b/>
        </w:rPr>
        <w:t>What:</w:t>
      </w:r>
      <w:r>
        <w:t xml:space="preserve"> </w:t>
      </w:r>
      <w:r>
        <w:tab/>
        <w:t xml:space="preserve">Tasks pertaining to the central infrastructure components </w:t>
      </w:r>
    </w:p>
    <w:p w14:paraId="0968AA8A" w14:textId="15C0BED8" w:rsidR="00134FAD" w:rsidRPr="00134FAD" w:rsidRDefault="00134FAD" w:rsidP="00134FAD">
      <w:r w:rsidRPr="00304F7F">
        <w:rPr>
          <w:b/>
        </w:rPr>
        <w:t>Who:</w:t>
      </w:r>
      <w:r>
        <w:t xml:space="preserve"> </w:t>
      </w:r>
      <w:r>
        <w:tab/>
      </w:r>
      <w:r>
        <w:tab/>
        <w:t>Topic experts, central developers</w:t>
      </w:r>
    </w:p>
    <w:p w14:paraId="5744682B" w14:textId="6C222324" w:rsidR="00304F7F" w:rsidRDefault="00304F7F" w:rsidP="00304F7F">
      <w:pPr>
        <w:pStyle w:val="Heading2"/>
      </w:pPr>
      <w:r>
        <w:t>Update documentation</w:t>
      </w:r>
    </w:p>
    <w:p w14:paraId="7C879A27" w14:textId="2A385C0C" w:rsidR="00670465" w:rsidRDefault="00670465" w:rsidP="00304F7F">
      <w:r>
        <w:t>Update documentation on key items like:</w:t>
      </w:r>
    </w:p>
    <w:p w14:paraId="4D424FF0" w14:textId="0AD15FFF" w:rsidR="006F1C5A" w:rsidRDefault="00670465" w:rsidP="00304F7F">
      <w:pPr>
        <w:pStyle w:val="ListParagraph"/>
        <w:numPr>
          <w:ilvl w:val="0"/>
          <w:numId w:val="32"/>
        </w:numPr>
      </w:pPr>
      <w:r>
        <w:t>Centre Types</w:t>
      </w:r>
    </w:p>
    <w:p w14:paraId="768FEF04" w14:textId="1D5C70B6" w:rsidR="00670465" w:rsidRDefault="00670465" w:rsidP="00304F7F">
      <w:pPr>
        <w:pStyle w:val="ListParagraph"/>
        <w:numPr>
          <w:ilvl w:val="0"/>
          <w:numId w:val="32"/>
        </w:numPr>
      </w:pPr>
      <w:r>
        <w:t>Assessment procedure</w:t>
      </w:r>
    </w:p>
    <w:p w14:paraId="6193A845" w14:textId="7DEA1F4F" w:rsidR="00304F7F" w:rsidRDefault="00304F7F" w:rsidP="00304F7F">
      <w:pPr>
        <w:pStyle w:val="ListParagraph"/>
        <w:numPr>
          <w:ilvl w:val="0"/>
          <w:numId w:val="32"/>
        </w:numPr>
      </w:pPr>
      <w:r>
        <w:t>Specific topics, like PIDs (A4-guides)</w:t>
      </w:r>
    </w:p>
    <w:p w14:paraId="43B6BBE3" w14:textId="51CFA43E" w:rsidR="00286F1C" w:rsidRDefault="00286F1C" w:rsidP="00304F7F">
      <w:pPr>
        <w:pStyle w:val="ListParagraph"/>
        <w:numPr>
          <w:ilvl w:val="0"/>
          <w:numId w:val="32"/>
        </w:numPr>
      </w:pPr>
      <w:r>
        <w:t>Metadata best practices</w:t>
      </w:r>
    </w:p>
    <w:p w14:paraId="7316C944" w14:textId="02CD5DF0" w:rsidR="00434599" w:rsidRDefault="00434599" w:rsidP="00304F7F">
      <w:pPr>
        <w:pStyle w:val="ListParagraph"/>
        <w:numPr>
          <w:ilvl w:val="0"/>
          <w:numId w:val="32"/>
        </w:numPr>
      </w:pPr>
      <w:r>
        <w:t>Docker best practices</w:t>
      </w:r>
    </w:p>
    <w:p w14:paraId="78AB5693" w14:textId="1CB4E8FD" w:rsidR="00304F7F" w:rsidRDefault="00304F7F" w:rsidP="00134FAD">
      <w:pPr>
        <w:pStyle w:val="Heading2"/>
      </w:pPr>
      <w:bookmarkStart w:id="1" w:name="_Ref500408025"/>
      <w:r>
        <w:t>Integration documentation</w:t>
      </w:r>
      <w:bookmarkEnd w:id="1"/>
    </w:p>
    <w:p w14:paraId="207D2B9D" w14:textId="635AF50B" w:rsidR="00670465" w:rsidRDefault="00304F7F" w:rsidP="00670465">
      <w:r>
        <w:t>Create a specific and short guide on how to integrate data and services with the CLARIN infrastructure. Target audience: outsiders and (new) consortia at the stage of project planning.</w:t>
      </w:r>
    </w:p>
    <w:p w14:paraId="4708D334" w14:textId="18CE7211" w:rsidR="00D53CED" w:rsidRDefault="00670465" w:rsidP="00D53CED">
      <w:pPr>
        <w:pStyle w:val="Heading1"/>
      </w:pPr>
      <w:r>
        <w:t xml:space="preserve">Other </w:t>
      </w:r>
      <w:r w:rsidR="00F3658D">
        <w:t>activities</w:t>
      </w:r>
    </w:p>
    <w:p w14:paraId="77C61BE2" w14:textId="09716A76" w:rsidR="00564DAF" w:rsidRPr="00564DAF" w:rsidRDefault="00564DAF" w:rsidP="00564DAF">
      <w:r>
        <w:t>Additional suggestions for this section are warmly welcomed.</w:t>
      </w:r>
    </w:p>
    <w:p w14:paraId="389B51F3" w14:textId="75CD4F20" w:rsidR="00D53CED" w:rsidRDefault="00F3658D" w:rsidP="00D53CED">
      <w:pPr>
        <w:pStyle w:val="Heading2"/>
      </w:pPr>
      <w:r>
        <w:t>Workspaces and u</w:t>
      </w:r>
      <w:r w:rsidR="00670465">
        <w:t>ser delegation</w:t>
      </w:r>
    </w:p>
    <w:p w14:paraId="5FCCA1BE" w14:textId="709B9830" w:rsidR="00564DAF" w:rsidRDefault="00564DAF" w:rsidP="00564DAF">
      <w:pPr>
        <w:ind w:left="1440" w:hanging="1440"/>
      </w:pPr>
      <w:r w:rsidRPr="00564DAF">
        <w:rPr>
          <w:b/>
        </w:rPr>
        <w:t>What:</w:t>
      </w:r>
      <w:r>
        <w:t xml:space="preserve"> </w:t>
      </w:r>
      <w:r>
        <w:tab/>
        <w:t xml:space="preserve">Evaluate a </w:t>
      </w:r>
      <w:proofErr w:type="spellStart"/>
      <w:r>
        <w:t>NextCloud</w:t>
      </w:r>
      <w:proofErr w:type="spellEnd"/>
      <w:r>
        <w:t xml:space="preserve">-based </w:t>
      </w:r>
      <w:r w:rsidR="00434599">
        <w:t xml:space="preserve">and </w:t>
      </w:r>
      <w:proofErr w:type="spellStart"/>
      <w:r w:rsidR="00434599">
        <w:t>UnityIDM</w:t>
      </w:r>
      <w:proofErr w:type="spellEnd"/>
      <w:r w:rsidR="00434599">
        <w:t xml:space="preserve">-based </w:t>
      </w:r>
      <w:r>
        <w:t>solution for personal workspaces and user delegation (</w:t>
      </w:r>
      <w:hyperlink r:id="rId11" w:history="1">
        <w:r w:rsidR="00947CFD">
          <w:rPr>
            <w:rStyle w:val="Hyperlink"/>
          </w:rPr>
          <w:t>https://www.clarin.eu/content/user-delegation</w:t>
        </w:r>
      </w:hyperlink>
      <w:r w:rsidR="00947CFD">
        <w:t>)</w:t>
      </w:r>
    </w:p>
    <w:p w14:paraId="3CF4A35E" w14:textId="625F2973" w:rsidR="00670465" w:rsidRDefault="00564DAF" w:rsidP="00564DAF">
      <w:pPr>
        <w:ind w:left="1440" w:hanging="1440"/>
      </w:pPr>
      <w:r>
        <w:rPr>
          <w:b/>
        </w:rPr>
        <w:t>Who:</w:t>
      </w:r>
      <w:r>
        <w:rPr>
          <w:b/>
        </w:rPr>
        <w:tab/>
      </w:r>
      <w:proofErr w:type="spellStart"/>
      <w:r w:rsidR="00670465">
        <w:t>Menzo</w:t>
      </w:r>
      <w:proofErr w:type="spellEnd"/>
      <w:r w:rsidR="00670465">
        <w:t>, Dirk, Marcin</w:t>
      </w:r>
    </w:p>
    <w:p w14:paraId="5705669F" w14:textId="5268DA05" w:rsidR="00D53CED" w:rsidRDefault="00670465" w:rsidP="00D53CED">
      <w:pPr>
        <w:pStyle w:val="Heading2"/>
      </w:pPr>
      <w:r w:rsidRPr="00D53CED">
        <w:t xml:space="preserve">Federated Content Search: </w:t>
      </w:r>
      <w:r w:rsidR="00F3658D">
        <w:t>stimulate</w:t>
      </w:r>
      <w:r w:rsidR="00564DAF">
        <w:t xml:space="preserve"> uptake</w:t>
      </w:r>
    </w:p>
    <w:p w14:paraId="4738C056" w14:textId="575339F6" w:rsidR="00564DAF" w:rsidRDefault="00564DAF" w:rsidP="00D53CED">
      <w:pPr>
        <w:rPr>
          <w:b/>
        </w:rPr>
      </w:pPr>
      <w:r>
        <w:rPr>
          <w:b/>
        </w:rPr>
        <w:t>What:</w:t>
      </w:r>
      <w:r>
        <w:rPr>
          <w:b/>
        </w:rPr>
        <w:tab/>
      </w:r>
      <w:r>
        <w:rPr>
          <w:b/>
        </w:rPr>
        <w:tab/>
      </w:r>
      <w:r w:rsidRPr="00564DAF">
        <w:t xml:space="preserve">Assist </w:t>
      </w:r>
      <w:r>
        <w:t>centres in setting up an FCS 2.0 compliant endpoint</w:t>
      </w:r>
    </w:p>
    <w:p w14:paraId="49436CC3" w14:textId="2280EE0A" w:rsidR="00670465" w:rsidRPr="00D53CED" w:rsidRDefault="00564DAF" w:rsidP="00D53CED">
      <w:r w:rsidRPr="00564DAF">
        <w:rPr>
          <w:b/>
        </w:rPr>
        <w:t>Who:</w:t>
      </w:r>
      <w:r>
        <w:tab/>
      </w:r>
      <w:r>
        <w:tab/>
        <w:t>FCS taskforce (Leif-</w:t>
      </w:r>
      <w:proofErr w:type="spellStart"/>
      <w:r>
        <w:t>Jöran</w:t>
      </w:r>
      <w:proofErr w:type="spellEnd"/>
      <w:r>
        <w:t xml:space="preserve"> as lead)</w:t>
      </w:r>
    </w:p>
    <w:p w14:paraId="2FF7778A" w14:textId="77777777" w:rsidR="00670465" w:rsidRDefault="00670465" w:rsidP="00D53CED"/>
    <w:p w14:paraId="48A52EDA" w14:textId="77777777" w:rsidR="00670465" w:rsidRPr="00670465" w:rsidRDefault="00670465" w:rsidP="00670465"/>
    <w:sectPr w:rsidR="00670465" w:rsidRPr="00670465" w:rsidSect="0053734D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ADC0" w14:textId="77777777" w:rsidR="00AC38A8" w:rsidRDefault="00AC38A8" w:rsidP="002149D1">
      <w:r>
        <w:separator/>
      </w:r>
    </w:p>
  </w:endnote>
  <w:endnote w:type="continuationSeparator" w:id="0">
    <w:p w14:paraId="5AA734F2" w14:textId="77777777" w:rsidR="00AC38A8" w:rsidRDefault="00AC38A8" w:rsidP="0021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2F34" w14:textId="77777777" w:rsidR="00BF2C8A" w:rsidRDefault="00BF2C8A" w:rsidP="006F5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79A73F" w14:textId="77777777" w:rsidR="00BF2C8A" w:rsidRDefault="00BF2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DDC0" w14:textId="77777777" w:rsidR="00BF2C8A" w:rsidRDefault="00BF2C8A" w:rsidP="006F5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E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A3FDB9" w14:textId="77777777" w:rsidR="00BF2C8A" w:rsidRDefault="00BF2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53D9" w14:textId="77777777" w:rsidR="00AC38A8" w:rsidRDefault="00AC38A8" w:rsidP="002149D1">
      <w:r>
        <w:separator/>
      </w:r>
    </w:p>
  </w:footnote>
  <w:footnote w:type="continuationSeparator" w:id="0">
    <w:p w14:paraId="108C70FA" w14:textId="77777777" w:rsidR="00AC38A8" w:rsidRDefault="00AC38A8" w:rsidP="0021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A58"/>
    <w:multiLevelType w:val="hybridMultilevel"/>
    <w:tmpl w:val="7BC0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750"/>
    <w:multiLevelType w:val="hybridMultilevel"/>
    <w:tmpl w:val="3CFAC21C"/>
    <w:lvl w:ilvl="0" w:tplc="CA4E8B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A6F"/>
    <w:multiLevelType w:val="hybridMultilevel"/>
    <w:tmpl w:val="7ECA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923"/>
    <w:multiLevelType w:val="multilevel"/>
    <w:tmpl w:val="CCB00C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3593"/>
    <w:multiLevelType w:val="hybridMultilevel"/>
    <w:tmpl w:val="50D4575C"/>
    <w:lvl w:ilvl="0" w:tplc="7960F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2483C"/>
    <w:multiLevelType w:val="hybridMultilevel"/>
    <w:tmpl w:val="BA2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3B67"/>
    <w:multiLevelType w:val="hybridMultilevel"/>
    <w:tmpl w:val="3C64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5125"/>
    <w:multiLevelType w:val="hybridMultilevel"/>
    <w:tmpl w:val="8118E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72D06"/>
    <w:multiLevelType w:val="hybridMultilevel"/>
    <w:tmpl w:val="06CE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1F7A"/>
    <w:multiLevelType w:val="hybridMultilevel"/>
    <w:tmpl w:val="74AC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731A1"/>
    <w:multiLevelType w:val="hybridMultilevel"/>
    <w:tmpl w:val="3A8A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C5FFB"/>
    <w:multiLevelType w:val="hybridMultilevel"/>
    <w:tmpl w:val="D1EA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A6E"/>
    <w:multiLevelType w:val="hybridMultilevel"/>
    <w:tmpl w:val="383C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3D93"/>
    <w:multiLevelType w:val="hybridMultilevel"/>
    <w:tmpl w:val="E4FE6448"/>
    <w:lvl w:ilvl="0" w:tplc="7AC673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A3B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8B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A2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001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25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E04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25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8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F7428"/>
    <w:multiLevelType w:val="hybridMultilevel"/>
    <w:tmpl w:val="BC88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328FE"/>
    <w:multiLevelType w:val="hybridMultilevel"/>
    <w:tmpl w:val="E16C7434"/>
    <w:lvl w:ilvl="0" w:tplc="6A34EF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10098"/>
    <w:multiLevelType w:val="hybridMultilevel"/>
    <w:tmpl w:val="E25A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7C8D"/>
    <w:multiLevelType w:val="hybridMultilevel"/>
    <w:tmpl w:val="98347760"/>
    <w:lvl w:ilvl="0" w:tplc="ADC4E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A4F6E"/>
    <w:multiLevelType w:val="hybridMultilevel"/>
    <w:tmpl w:val="D876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95FA9"/>
    <w:multiLevelType w:val="hybridMultilevel"/>
    <w:tmpl w:val="2C14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26BF"/>
    <w:multiLevelType w:val="hybridMultilevel"/>
    <w:tmpl w:val="35F6A736"/>
    <w:lvl w:ilvl="0" w:tplc="41BA05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E48A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C0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86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2A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63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C3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8D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CE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F7FB7"/>
    <w:multiLevelType w:val="hybridMultilevel"/>
    <w:tmpl w:val="C0481E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502980"/>
    <w:multiLevelType w:val="multilevel"/>
    <w:tmpl w:val="B7AE34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1D5059B"/>
    <w:multiLevelType w:val="hybridMultilevel"/>
    <w:tmpl w:val="663A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24337"/>
    <w:multiLevelType w:val="multilevel"/>
    <w:tmpl w:val="24ECDA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F508F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6B4D4611"/>
    <w:multiLevelType w:val="hybridMultilevel"/>
    <w:tmpl w:val="65D63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C762C"/>
    <w:multiLevelType w:val="hybridMultilevel"/>
    <w:tmpl w:val="9EA47CE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5200D52"/>
    <w:multiLevelType w:val="hybridMultilevel"/>
    <w:tmpl w:val="75F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B32F0"/>
    <w:multiLevelType w:val="hybridMultilevel"/>
    <w:tmpl w:val="990C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92F45"/>
    <w:multiLevelType w:val="hybridMultilevel"/>
    <w:tmpl w:val="3B6C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5"/>
  </w:num>
  <w:num w:numId="4">
    <w:abstractNumId w:val="18"/>
  </w:num>
  <w:num w:numId="5">
    <w:abstractNumId w:val="22"/>
  </w:num>
  <w:num w:numId="6">
    <w:abstractNumId w:val="17"/>
  </w:num>
  <w:num w:numId="7">
    <w:abstractNumId w:val="24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5"/>
  </w:num>
  <w:num w:numId="13">
    <w:abstractNumId w:val="20"/>
  </w:num>
  <w:num w:numId="14">
    <w:abstractNumId w:val="9"/>
  </w:num>
  <w:num w:numId="15">
    <w:abstractNumId w:val="28"/>
  </w:num>
  <w:num w:numId="16">
    <w:abstractNumId w:val="30"/>
  </w:num>
  <w:num w:numId="17">
    <w:abstractNumId w:val="13"/>
  </w:num>
  <w:num w:numId="18">
    <w:abstractNumId w:val="0"/>
  </w:num>
  <w:num w:numId="19">
    <w:abstractNumId w:val="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1"/>
  </w:num>
  <w:num w:numId="24">
    <w:abstractNumId w:val="16"/>
  </w:num>
  <w:num w:numId="25">
    <w:abstractNumId w:val="11"/>
  </w:num>
  <w:num w:numId="26">
    <w:abstractNumId w:val="12"/>
  </w:num>
  <w:num w:numId="27">
    <w:abstractNumId w:val="26"/>
  </w:num>
  <w:num w:numId="28">
    <w:abstractNumId w:val="27"/>
  </w:num>
  <w:num w:numId="29">
    <w:abstractNumId w:val="8"/>
  </w:num>
  <w:num w:numId="30">
    <w:abstractNumId w:val="7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D8C"/>
    <w:rsid w:val="00046229"/>
    <w:rsid w:val="0006159B"/>
    <w:rsid w:val="000729AB"/>
    <w:rsid w:val="000743FD"/>
    <w:rsid w:val="000D4A2E"/>
    <w:rsid w:val="00127797"/>
    <w:rsid w:val="00134FAD"/>
    <w:rsid w:val="00154F4A"/>
    <w:rsid w:val="001609C5"/>
    <w:rsid w:val="001A3EAA"/>
    <w:rsid w:val="001B2183"/>
    <w:rsid w:val="001D4A6A"/>
    <w:rsid w:val="001E1550"/>
    <w:rsid w:val="002149D1"/>
    <w:rsid w:val="00237775"/>
    <w:rsid w:val="00251277"/>
    <w:rsid w:val="00272495"/>
    <w:rsid w:val="00286F1C"/>
    <w:rsid w:val="002C6504"/>
    <w:rsid w:val="00304F7F"/>
    <w:rsid w:val="003870E7"/>
    <w:rsid w:val="003C582D"/>
    <w:rsid w:val="00421433"/>
    <w:rsid w:val="00424EE1"/>
    <w:rsid w:val="00434599"/>
    <w:rsid w:val="00455CD2"/>
    <w:rsid w:val="00490C56"/>
    <w:rsid w:val="004C2279"/>
    <w:rsid w:val="004C5BDD"/>
    <w:rsid w:val="004D0509"/>
    <w:rsid w:val="004E6583"/>
    <w:rsid w:val="004E7459"/>
    <w:rsid w:val="0051426F"/>
    <w:rsid w:val="00523C32"/>
    <w:rsid w:val="00524CBB"/>
    <w:rsid w:val="0052781B"/>
    <w:rsid w:val="0053734D"/>
    <w:rsid w:val="005439C0"/>
    <w:rsid w:val="00550B82"/>
    <w:rsid w:val="00564DAF"/>
    <w:rsid w:val="00565B3A"/>
    <w:rsid w:val="005A27E9"/>
    <w:rsid w:val="005F76C3"/>
    <w:rsid w:val="00604906"/>
    <w:rsid w:val="00666D0D"/>
    <w:rsid w:val="00670465"/>
    <w:rsid w:val="0068075F"/>
    <w:rsid w:val="006A1F02"/>
    <w:rsid w:val="006C78CB"/>
    <w:rsid w:val="006F1C5A"/>
    <w:rsid w:val="006F572F"/>
    <w:rsid w:val="00710D9D"/>
    <w:rsid w:val="007247CA"/>
    <w:rsid w:val="007473B5"/>
    <w:rsid w:val="0078274A"/>
    <w:rsid w:val="00785EDC"/>
    <w:rsid w:val="007D5817"/>
    <w:rsid w:val="007F0639"/>
    <w:rsid w:val="00844BE6"/>
    <w:rsid w:val="00846590"/>
    <w:rsid w:val="00854072"/>
    <w:rsid w:val="00860465"/>
    <w:rsid w:val="00861025"/>
    <w:rsid w:val="00870273"/>
    <w:rsid w:val="008F1979"/>
    <w:rsid w:val="00911BD3"/>
    <w:rsid w:val="00916273"/>
    <w:rsid w:val="00947CFD"/>
    <w:rsid w:val="00962030"/>
    <w:rsid w:val="009700C9"/>
    <w:rsid w:val="009800D6"/>
    <w:rsid w:val="009C51D6"/>
    <w:rsid w:val="009D0F68"/>
    <w:rsid w:val="00A06976"/>
    <w:rsid w:val="00A16779"/>
    <w:rsid w:val="00A324B3"/>
    <w:rsid w:val="00A419B5"/>
    <w:rsid w:val="00A529DD"/>
    <w:rsid w:val="00A569E2"/>
    <w:rsid w:val="00A82A76"/>
    <w:rsid w:val="00AB45AA"/>
    <w:rsid w:val="00AB4B68"/>
    <w:rsid w:val="00AC38A8"/>
    <w:rsid w:val="00AD19DD"/>
    <w:rsid w:val="00B27A29"/>
    <w:rsid w:val="00B3352D"/>
    <w:rsid w:val="00B409F2"/>
    <w:rsid w:val="00B53710"/>
    <w:rsid w:val="00B96082"/>
    <w:rsid w:val="00BD69FF"/>
    <w:rsid w:val="00BF2C8A"/>
    <w:rsid w:val="00C02B0A"/>
    <w:rsid w:val="00C05B45"/>
    <w:rsid w:val="00C10324"/>
    <w:rsid w:val="00C246D5"/>
    <w:rsid w:val="00C255B4"/>
    <w:rsid w:val="00C51AF7"/>
    <w:rsid w:val="00C57FFD"/>
    <w:rsid w:val="00C8003E"/>
    <w:rsid w:val="00CA3E2A"/>
    <w:rsid w:val="00D357DB"/>
    <w:rsid w:val="00D430B6"/>
    <w:rsid w:val="00D53CED"/>
    <w:rsid w:val="00D61420"/>
    <w:rsid w:val="00DB369E"/>
    <w:rsid w:val="00DC1847"/>
    <w:rsid w:val="00DD2D8C"/>
    <w:rsid w:val="00DE3905"/>
    <w:rsid w:val="00E01DA5"/>
    <w:rsid w:val="00E04377"/>
    <w:rsid w:val="00E374DB"/>
    <w:rsid w:val="00E470B7"/>
    <w:rsid w:val="00E548B2"/>
    <w:rsid w:val="00EA6820"/>
    <w:rsid w:val="00F00849"/>
    <w:rsid w:val="00F104AF"/>
    <w:rsid w:val="00F16C81"/>
    <w:rsid w:val="00F3658D"/>
    <w:rsid w:val="00F53704"/>
    <w:rsid w:val="00F63CB3"/>
    <w:rsid w:val="00F64DF2"/>
    <w:rsid w:val="00F74113"/>
    <w:rsid w:val="00F757F5"/>
    <w:rsid w:val="00F91483"/>
    <w:rsid w:val="00F948FD"/>
    <w:rsid w:val="00FB0921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731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9D1"/>
    <w:rPr>
      <w:rFonts w:eastAsia="Times New Roman" w:cs="Times New Roman"/>
      <w:sz w:val="22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72F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72F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72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72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2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72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72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72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72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9D1"/>
    <w:pPr>
      <w:jc w:val="both"/>
    </w:pPr>
    <w:rPr>
      <w:sz w:val="20"/>
      <w:szCs w:val="20"/>
      <w:lang w:eastAsia="fr-BE"/>
    </w:rPr>
  </w:style>
  <w:style w:type="character" w:customStyle="1" w:styleId="FootnoteTextChar">
    <w:name w:val="Footnote Text Char"/>
    <w:basedOn w:val="DefaultParagraphFont"/>
    <w:link w:val="FootnoteText"/>
    <w:semiHidden/>
    <w:rsid w:val="002149D1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styleId="FootnoteReference">
    <w:name w:val="footnote reference"/>
    <w:aliases w:val="Footnote symbol,Footnote"/>
    <w:basedOn w:val="DefaultParagraphFont"/>
    <w:semiHidden/>
    <w:rsid w:val="002149D1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2149D1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49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D1"/>
    <w:rPr>
      <w:rFonts w:ascii="Lucida Grande" w:eastAsia="Times New Roman" w:hAnsi="Lucida Grande" w:cs="Lucida Grande"/>
      <w:sz w:val="18"/>
      <w:szCs w:val="18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F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214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D1"/>
    <w:rPr>
      <w:rFonts w:eastAsia="Times New Roman" w:cs="Times New Roman"/>
      <w:sz w:val="22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2149D1"/>
  </w:style>
  <w:style w:type="character" w:customStyle="1" w:styleId="Heading1Char">
    <w:name w:val="Heading 1 Char"/>
    <w:basedOn w:val="DefaultParagraphFont"/>
    <w:link w:val="Heading1"/>
    <w:uiPriority w:val="9"/>
    <w:rsid w:val="006F57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de-DE"/>
    </w:rPr>
  </w:style>
  <w:style w:type="paragraph" w:styleId="NoSpacing">
    <w:name w:val="No Spacing"/>
    <w:uiPriority w:val="1"/>
    <w:qFormat/>
    <w:rsid w:val="006F572F"/>
    <w:rPr>
      <w:rFonts w:eastAsia="Times New Roman" w:cs="Times New Roman"/>
      <w:sz w:val="22"/>
      <w:lang w:val="en-GB" w:eastAsia="de-DE"/>
    </w:rPr>
  </w:style>
  <w:style w:type="table" w:styleId="TableGrid">
    <w:name w:val="Table Grid"/>
    <w:basedOn w:val="TableNormal"/>
    <w:uiPriority w:val="59"/>
    <w:rsid w:val="006F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F572F"/>
    <w:rPr>
      <w:rFonts w:asciiTheme="majorHAnsi" w:eastAsiaTheme="majorEastAsia" w:hAnsiTheme="majorHAnsi" w:cstheme="majorBidi"/>
      <w:b/>
      <w:bCs/>
      <w:color w:val="4F81BD" w:themeColor="accent1"/>
      <w:sz w:val="22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7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72F"/>
    <w:rPr>
      <w:rFonts w:asciiTheme="majorHAnsi" w:eastAsiaTheme="majorEastAsia" w:hAnsiTheme="majorHAnsi" w:cstheme="majorBidi"/>
      <w:color w:val="243F60" w:themeColor="accent1" w:themeShade="7F"/>
      <w:sz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72F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72F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7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7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table" w:styleId="LightList-Accent1">
    <w:name w:val="Light List Accent 1"/>
    <w:basedOn w:val="TableNormal"/>
    <w:uiPriority w:val="61"/>
    <w:rsid w:val="008604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24CB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025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2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49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495"/>
    <w:rPr>
      <w:rFonts w:eastAsia="Times New Roman" w:cs="Times New Roman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4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495"/>
    <w:rPr>
      <w:rFonts w:eastAsia="Times New Roman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0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0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8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4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8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8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4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0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larin-eric/VLO/milestone/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arin.eu/content/user-deleg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ari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ice.clarin.eu/v/CE-2018-1175-EOSC-hub-task71-roadmap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etuyt/Library/Group%20Containers/UBF8T346G9.Office/User%20Content.localized/Templates.localized/CLARIN-CE-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CLARIN-CE-document.dotx</Template>
  <TotalTime>9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Project activities</vt:lpstr>
      <vt:lpstr>Central infrastructure activities</vt:lpstr>
      <vt:lpstr>Documentation and communication activities</vt:lpstr>
      <vt:lpstr>    Update documentation</vt:lpstr>
      <vt:lpstr>    Integration documentation</vt:lpstr>
      <vt:lpstr>Other activities</vt:lpstr>
      <vt:lpstr>    Workspaces and user delegation</vt:lpstr>
      <vt:lpstr>    Federated Content Search: stimulate uptake</vt:lpstr>
    </vt:vector>
  </TitlesOfParts>
  <Company>MPI for Psycholinguistics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 Uytvanck</dc:creator>
  <cp:keywords/>
  <dc:description/>
  <cp:lastModifiedBy>Dieter Van Uytvanck</cp:lastModifiedBy>
  <cp:revision>7</cp:revision>
  <dcterms:created xsi:type="dcterms:W3CDTF">2017-12-14T10:54:00Z</dcterms:created>
  <dcterms:modified xsi:type="dcterms:W3CDTF">2018-02-27T16:34:00Z</dcterms:modified>
</cp:coreProperties>
</file>