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ED6C" w14:textId="77777777" w:rsidR="00FD64AC" w:rsidRDefault="00FD64AC"/>
    <w:tbl>
      <w:tblPr>
        <w:tblW w:w="8516" w:type="dxa"/>
        <w:tblLook w:val="00A0" w:firstRow="1" w:lastRow="0" w:firstColumn="1" w:lastColumn="0" w:noHBand="0" w:noVBand="0"/>
      </w:tblPr>
      <w:tblGrid>
        <w:gridCol w:w="1462"/>
        <w:gridCol w:w="3990"/>
        <w:gridCol w:w="3064"/>
      </w:tblGrid>
      <w:tr w:rsidR="00FD64AC" w14:paraId="68D60958" w14:textId="77777777">
        <w:trPr>
          <w:cantSplit/>
        </w:trPr>
        <w:tc>
          <w:tcPr>
            <w:tcW w:w="1462" w:type="dxa"/>
            <w:shd w:val="clear" w:color="auto" w:fill="auto"/>
          </w:tcPr>
          <w:p w14:paraId="303A2C31" w14:textId="77777777" w:rsidR="00FD64AC" w:rsidRDefault="00D03A06">
            <w:pPr>
              <w:jc w:val="both"/>
              <w:rPr>
                <w:b/>
              </w:rPr>
            </w:pPr>
            <w:r>
              <w:rPr>
                <w:b/>
              </w:rPr>
              <w:t>Title</w:t>
            </w:r>
          </w:p>
        </w:tc>
        <w:tc>
          <w:tcPr>
            <w:tcW w:w="3990" w:type="dxa"/>
            <w:shd w:val="clear" w:color="auto" w:fill="auto"/>
          </w:tcPr>
          <w:p w14:paraId="42BE131E" w14:textId="77777777" w:rsidR="00FD64AC" w:rsidRDefault="00D03A06">
            <w:r>
              <w:t xml:space="preserve">CLARIN B Centre Checklist </w:t>
            </w:r>
          </w:p>
        </w:tc>
        <w:tc>
          <w:tcPr>
            <w:tcW w:w="3064" w:type="dxa"/>
            <w:vMerge w:val="restart"/>
            <w:shd w:val="clear" w:color="auto" w:fill="auto"/>
          </w:tcPr>
          <w:p w14:paraId="10F02C09" w14:textId="77777777" w:rsidR="00FD64AC" w:rsidRDefault="00D03A06">
            <w:pPr>
              <w:jc w:val="both"/>
            </w:pPr>
            <w:r w:rsidRPr="00514DA2">
              <w:rPr>
                <w:noProof/>
                <w:lang w:val="en-US" w:eastAsia="en-US"/>
              </w:rPr>
              <w:drawing>
                <wp:inline distT="0" distB="0" distL="0" distR="0" wp14:anchorId="2DD51F32" wp14:editId="641A832D">
                  <wp:extent cx="1739900" cy="11557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8"/>
                          <a:stretch>
                            <a:fillRect/>
                          </a:stretch>
                        </pic:blipFill>
                        <pic:spPr bwMode="auto">
                          <a:xfrm>
                            <a:off x="0" y="0"/>
                            <a:ext cx="1739900" cy="1155700"/>
                          </a:xfrm>
                          <a:prstGeom prst="rect">
                            <a:avLst/>
                          </a:prstGeom>
                          <a:noFill/>
                          <a:ln w="9525">
                            <a:noFill/>
                            <a:miter lim="800000"/>
                            <a:headEnd/>
                            <a:tailEnd/>
                          </a:ln>
                        </pic:spPr>
                      </pic:pic>
                    </a:graphicData>
                  </a:graphic>
                </wp:inline>
              </w:drawing>
            </w:r>
          </w:p>
        </w:tc>
      </w:tr>
      <w:tr w:rsidR="00FD64AC" w14:paraId="68FFE674" w14:textId="77777777">
        <w:trPr>
          <w:cantSplit/>
        </w:trPr>
        <w:tc>
          <w:tcPr>
            <w:tcW w:w="1462" w:type="dxa"/>
            <w:shd w:val="clear" w:color="auto" w:fill="auto"/>
          </w:tcPr>
          <w:p w14:paraId="76315805" w14:textId="77777777" w:rsidR="00FD64AC" w:rsidRDefault="00D03A06">
            <w:pPr>
              <w:jc w:val="both"/>
              <w:rPr>
                <w:b/>
              </w:rPr>
            </w:pPr>
            <w:r>
              <w:rPr>
                <w:b/>
              </w:rPr>
              <w:t>Version</w:t>
            </w:r>
          </w:p>
        </w:tc>
        <w:tc>
          <w:tcPr>
            <w:tcW w:w="3990" w:type="dxa"/>
            <w:shd w:val="clear" w:color="auto" w:fill="auto"/>
          </w:tcPr>
          <w:p w14:paraId="5E0ABCF6" w14:textId="1A5F49FC" w:rsidR="00FD64AC" w:rsidRDefault="002D5355">
            <w:r>
              <w:t>7</w:t>
            </w:r>
            <w:r w:rsidR="00237F7C">
              <w:t>.</w:t>
            </w:r>
            <w:r w:rsidR="00055BA6">
              <w:t>3</w:t>
            </w:r>
            <w:r w:rsidR="007D2667">
              <w:t>.1</w:t>
            </w:r>
          </w:p>
        </w:tc>
        <w:tc>
          <w:tcPr>
            <w:tcW w:w="3064" w:type="dxa"/>
            <w:vMerge/>
            <w:shd w:val="clear" w:color="auto" w:fill="auto"/>
          </w:tcPr>
          <w:p w14:paraId="5D002107" w14:textId="77777777" w:rsidR="00FD64AC" w:rsidRDefault="00FD64AC">
            <w:pPr>
              <w:jc w:val="both"/>
            </w:pPr>
          </w:p>
        </w:tc>
      </w:tr>
      <w:tr w:rsidR="00FD64AC" w14:paraId="2ABBDDE9" w14:textId="77777777">
        <w:trPr>
          <w:cantSplit/>
        </w:trPr>
        <w:tc>
          <w:tcPr>
            <w:tcW w:w="1462" w:type="dxa"/>
            <w:shd w:val="clear" w:color="auto" w:fill="auto"/>
          </w:tcPr>
          <w:p w14:paraId="3C38D2F9" w14:textId="77777777" w:rsidR="00FD64AC" w:rsidRDefault="00D03A06">
            <w:pPr>
              <w:jc w:val="both"/>
              <w:rPr>
                <w:b/>
              </w:rPr>
            </w:pPr>
            <w:r>
              <w:rPr>
                <w:b/>
              </w:rPr>
              <w:t>Author(s)</w:t>
            </w:r>
          </w:p>
        </w:tc>
        <w:tc>
          <w:tcPr>
            <w:tcW w:w="3990" w:type="dxa"/>
            <w:shd w:val="clear" w:color="auto" w:fill="auto"/>
          </w:tcPr>
          <w:p w14:paraId="6B026456" w14:textId="0F7E2025" w:rsidR="00FD64AC" w:rsidRDefault="00D03A06" w:rsidP="00D26B27">
            <w:r w:rsidRPr="00AC5372">
              <w:t xml:space="preserve">Peter </w:t>
            </w:r>
            <w:proofErr w:type="spellStart"/>
            <w:r w:rsidRPr="00AC5372">
              <w:t>Wittenburg</w:t>
            </w:r>
            <w:proofErr w:type="spellEnd"/>
            <w:r w:rsidRPr="00AC5372">
              <w:t xml:space="preserve">, Dieter Van Uytvanck, Thomas Zastrow, Pavel </w:t>
            </w:r>
            <w:proofErr w:type="spellStart"/>
            <w:r w:rsidRPr="00AC5372">
              <w:t>Straňák</w:t>
            </w:r>
            <w:proofErr w:type="spellEnd"/>
            <w:r w:rsidRPr="00AC5372">
              <w:t xml:space="preserve">, </w:t>
            </w:r>
            <w:proofErr w:type="spellStart"/>
            <w:r w:rsidRPr="00AC5372">
              <w:t>Daan</w:t>
            </w:r>
            <w:proofErr w:type="spellEnd"/>
            <w:r w:rsidRPr="00AC5372">
              <w:t xml:space="preserve"> </w:t>
            </w:r>
            <w:proofErr w:type="spellStart"/>
            <w:r w:rsidRPr="00AC5372">
              <w:t>Broeder</w:t>
            </w:r>
            <w:proofErr w:type="spellEnd"/>
            <w:r w:rsidRPr="00AC5372">
              <w:t xml:space="preserve">, Florian </w:t>
            </w:r>
            <w:proofErr w:type="spellStart"/>
            <w:r w:rsidRPr="00AC5372">
              <w:t>Schiel</w:t>
            </w:r>
            <w:proofErr w:type="spellEnd"/>
            <w:r w:rsidRPr="00AC5372">
              <w:t xml:space="preserve">, Volker Boehlke, Uwe Reichel, </w:t>
            </w:r>
            <w:proofErr w:type="spellStart"/>
            <w:r w:rsidRPr="00AC5372">
              <w:t>Lene</w:t>
            </w:r>
            <w:proofErr w:type="spellEnd"/>
            <w:r w:rsidRPr="00AC5372">
              <w:t xml:space="preserve"> </w:t>
            </w:r>
            <w:proofErr w:type="spellStart"/>
            <w:r w:rsidRPr="00AC5372">
              <w:t>Offersgaard</w:t>
            </w:r>
            <w:proofErr w:type="spellEnd"/>
          </w:p>
        </w:tc>
        <w:tc>
          <w:tcPr>
            <w:tcW w:w="3064" w:type="dxa"/>
            <w:vMerge/>
            <w:shd w:val="clear" w:color="auto" w:fill="auto"/>
          </w:tcPr>
          <w:p w14:paraId="55D014D4" w14:textId="77777777" w:rsidR="00FD64AC" w:rsidRDefault="00FD64AC">
            <w:pPr>
              <w:jc w:val="both"/>
            </w:pPr>
          </w:p>
        </w:tc>
      </w:tr>
      <w:tr w:rsidR="00FD64AC" w14:paraId="37671A23" w14:textId="77777777">
        <w:trPr>
          <w:cantSplit/>
        </w:trPr>
        <w:tc>
          <w:tcPr>
            <w:tcW w:w="1462" w:type="dxa"/>
            <w:shd w:val="clear" w:color="auto" w:fill="auto"/>
          </w:tcPr>
          <w:p w14:paraId="043D05C5" w14:textId="77777777" w:rsidR="00FD64AC" w:rsidRDefault="00D03A06">
            <w:pPr>
              <w:jc w:val="both"/>
              <w:rPr>
                <w:b/>
              </w:rPr>
            </w:pPr>
            <w:r>
              <w:rPr>
                <w:b/>
              </w:rPr>
              <w:t>Date</w:t>
            </w:r>
          </w:p>
        </w:tc>
        <w:tc>
          <w:tcPr>
            <w:tcW w:w="3990" w:type="dxa"/>
            <w:shd w:val="clear" w:color="auto" w:fill="auto"/>
          </w:tcPr>
          <w:p w14:paraId="34130D0A" w14:textId="0102D26C" w:rsidR="00FD64AC" w:rsidRDefault="00D03A06" w:rsidP="00AC5372">
            <w:r>
              <w:t>201</w:t>
            </w:r>
            <w:r w:rsidR="002D5355">
              <w:t>9</w:t>
            </w:r>
            <w:r>
              <w:t>-</w:t>
            </w:r>
            <w:r w:rsidR="00402F39">
              <w:t>09</w:t>
            </w:r>
            <w:r w:rsidR="00213ACC">
              <w:t>-</w:t>
            </w:r>
            <w:r w:rsidR="00402F39">
              <w:t>30</w:t>
            </w:r>
            <w:bookmarkStart w:id="0" w:name="_GoBack"/>
            <w:bookmarkEnd w:id="0"/>
          </w:p>
        </w:tc>
        <w:tc>
          <w:tcPr>
            <w:tcW w:w="3064" w:type="dxa"/>
            <w:vMerge/>
            <w:shd w:val="clear" w:color="auto" w:fill="auto"/>
          </w:tcPr>
          <w:p w14:paraId="59E8147E" w14:textId="77777777" w:rsidR="00FD64AC" w:rsidRDefault="00FD64AC">
            <w:pPr>
              <w:jc w:val="both"/>
            </w:pPr>
          </w:p>
        </w:tc>
      </w:tr>
      <w:tr w:rsidR="00FD64AC" w14:paraId="70CCF97F" w14:textId="77777777">
        <w:trPr>
          <w:cantSplit/>
        </w:trPr>
        <w:tc>
          <w:tcPr>
            <w:tcW w:w="1462" w:type="dxa"/>
            <w:shd w:val="clear" w:color="auto" w:fill="auto"/>
          </w:tcPr>
          <w:p w14:paraId="09628DEE" w14:textId="77777777" w:rsidR="00FD64AC" w:rsidRDefault="00D03A06">
            <w:pPr>
              <w:jc w:val="both"/>
              <w:rPr>
                <w:b/>
              </w:rPr>
            </w:pPr>
            <w:r>
              <w:rPr>
                <w:b/>
              </w:rPr>
              <w:t>Status</w:t>
            </w:r>
          </w:p>
        </w:tc>
        <w:tc>
          <w:tcPr>
            <w:tcW w:w="3990" w:type="dxa"/>
            <w:shd w:val="clear" w:color="auto" w:fill="auto"/>
          </w:tcPr>
          <w:p w14:paraId="24EB9571" w14:textId="53A835ED" w:rsidR="00FD64AC" w:rsidRDefault="00E51FED" w:rsidP="002D5355">
            <w:r>
              <w:t>Approved by SCCTC</w:t>
            </w:r>
          </w:p>
        </w:tc>
        <w:tc>
          <w:tcPr>
            <w:tcW w:w="3064" w:type="dxa"/>
            <w:vMerge/>
            <w:shd w:val="clear" w:color="auto" w:fill="auto"/>
          </w:tcPr>
          <w:p w14:paraId="7CD0C971" w14:textId="77777777" w:rsidR="00FD64AC" w:rsidRDefault="00FD64AC">
            <w:pPr>
              <w:jc w:val="both"/>
            </w:pPr>
          </w:p>
        </w:tc>
      </w:tr>
      <w:tr w:rsidR="00FD64AC" w14:paraId="301B93B1" w14:textId="77777777">
        <w:trPr>
          <w:cantSplit/>
        </w:trPr>
        <w:tc>
          <w:tcPr>
            <w:tcW w:w="1462" w:type="dxa"/>
            <w:shd w:val="clear" w:color="auto" w:fill="auto"/>
          </w:tcPr>
          <w:p w14:paraId="028C6A50" w14:textId="77777777" w:rsidR="00FD64AC" w:rsidRDefault="00D03A06">
            <w:pPr>
              <w:jc w:val="both"/>
              <w:rPr>
                <w:b/>
              </w:rPr>
            </w:pPr>
            <w:r>
              <w:rPr>
                <w:b/>
              </w:rPr>
              <w:t>Distribution</w:t>
            </w:r>
          </w:p>
        </w:tc>
        <w:tc>
          <w:tcPr>
            <w:tcW w:w="3990" w:type="dxa"/>
            <w:shd w:val="clear" w:color="auto" w:fill="auto"/>
          </w:tcPr>
          <w:p w14:paraId="5FD72533" w14:textId="77777777" w:rsidR="00FD64AC" w:rsidRDefault="00D03A06">
            <w:r>
              <w:t>Public</w:t>
            </w:r>
          </w:p>
        </w:tc>
        <w:tc>
          <w:tcPr>
            <w:tcW w:w="3064" w:type="dxa"/>
            <w:vMerge/>
            <w:shd w:val="clear" w:color="auto" w:fill="auto"/>
          </w:tcPr>
          <w:p w14:paraId="5BBB00D3" w14:textId="77777777" w:rsidR="00FD64AC" w:rsidRDefault="00FD64AC">
            <w:pPr>
              <w:jc w:val="both"/>
            </w:pPr>
          </w:p>
        </w:tc>
      </w:tr>
      <w:tr w:rsidR="00FD64AC" w14:paraId="790DC282" w14:textId="77777777">
        <w:trPr>
          <w:cantSplit/>
        </w:trPr>
        <w:tc>
          <w:tcPr>
            <w:tcW w:w="1462" w:type="dxa"/>
            <w:tcBorders>
              <w:bottom w:val="single" w:sz="4" w:space="0" w:color="00000A"/>
            </w:tcBorders>
            <w:shd w:val="clear" w:color="auto" w:fill="auto"/>
          </w:tcPr>
          <w:p w14:paraId="2CFDBC80" w14:textId="77777777" w:rsidR="00FD64AC" w:rsidRDefault="00D03A06">
            <w:pPr>
              <w:jc w:val="both"/>
              <w:rPr>
                <w:b/>
              </w:rPr>
            </w:pPr>
            <w:r>
              <w:rPr>
                <w:b/>
              </w:rPr>
              <w:t>ID</w:t>
            </w:r>
          </w:p>
        </w:tc>
        <w:tc>
          <w:tcPr>
            <w:tcW w:w="3990" w:type="dxa"/>
            <w:tcBorders>
              <w:bottom w:val="single" w:sz="4" w:space="0" w:color="00000A"/>
            </w:tcBorders>
            <w:shd w:val="clear" w:color="auto" w:fill="auto"/>
          </w:tcPr>
          <w:p w14:paraId="1D35541E" w14:textId="24672FF8" w:rsidR="00FD64AC" w:rsidRPr="00237F7C" w:rsidRDefault="00D03A06">
            <w:r w:rsidRPr="00237F7C">
              <w:t>CE-2013-0095</w:t>
            </w:r>
          </w:p>
        </w:tc>
        <w:tc>
          <w:tcPr>
            <w:tcW w:w="3064" w:type="dxa"/>
            <w:vMerge/>
            <w:tcBorders>
              <w:bottom w:val="single" w:sz="4" w:space="0" w:color="00000A"/>
            </w:tcBorders>
            <w:shd w:val="clear" w:color="auto" w:fill="auto"/>
          </w:tcPr>
          <w:p w14:paraId="21E8BFAB" w14:textId="77777777" w:rsidR="00FD64AC" w:rsidRDefault="00FD64AC">
            <w:pPr>
              <w:jc w:val="both"/>
            </w:pPr>
          </w:p>
        </w:tc>
      </w:tr>
    </w:tbl>
    <w:p w14:paraId="1FEBE8B1" w14:textId="77777777" w:rsidR="00FD64AC" w:rsidRDefault="00FD64AC"/>
    <w:p w14:paraId="600001BA" w14:textId="519B6281" w:rsidR="007B5952" w:rsidRPr="00514DA2" w:rsidRDefault="00915B5C" w:rsidP="00514DA2">
      <w:r>
        <w:t>This</w:t>
      </w:r>
      <w:r w:rsidR="002D5355" w:rsidRPr="00514DA2">
        <w:t xml:space="preserve"> </w:t>
      </w:r>
      <w:r>
        <w:t>new</w:t>
      </w:r>
      <w:r w:rsidRPr="00514DA2">
        <w:t xml:space="preserve"> </w:t>
      </w:r>
      <w:r w:rsidR="002D5355" w:rsidRPr="00514DA2">
        <w:t xml:space="preserve">version of the CLARIN B centre Checklist </w:t>
      </w:r>
      <w:r w:rsidR="00C70B3C" w:rsidRPr="00514DA2">
        <w:t>includes</w:t>
      </w:r>
      <w:r w:rsidR="002D5355" w:rsidRPr="00514DA2">
        <w:t xml:space="preserve"> updated and </w:t>
      </w:r>
      <w:r w:rsidR="00D03A06" w:rsidRPr="00514DA2">
        <w:t>practical checks for the requirements mentioned in the centre requirements document (CE-2012-0037).</w:t>
      </w:r>
      <w:r w:rsidR="00381435" w:rsidRPr="00514DA2">
        <w:t xml:space="preserve"> </w:t>
      </w:r>
      <w:r>
        <w:t>It</w:t>
      </w:r>
      <w:r w:rsidR="00381435" w:rsidRPr="00514DA2">
        <w:t xml:space="preserve"> relates </w:t>
      </w:r>
      <w:r>
        <w:t xml:space="preserve">the requirements, which are mostly unchanged, </w:t>
      </w:r>
      <w:r w:rsidR="00381435" w:rsidRPr="00514DA2">
        <w:t>to the FAIR principles</w:t>
      </w:r>
      <w:r>
        <w:t xml:space="preserve"> more explicitly than was the case earlier on.</w:t>
      </w:r>
      <w:r w:rsidR="00D26B27" w:rsidRPr="00514DA2">
        <w:t xml:space="preserve"> </w:t>
      </w:r>
    </w:p>
    <w:p w14:paraId="13256F56" w14:textId="58683422" w:rsidR="007B23DB" w:rsidRPr="00514DA2" w:rsidRDefault="007B23DB"/>
    <w:p w14:paraId="30A4F3A3" w14:textId="1F6FA3C3" w:rsidR="007B23DB" w:rsidRDefault="007B23DB">
      <w:pPr>
        <w:rPr>
          <w:color w:val="000000"/>
        </w:rPr>
      </w:pPr>
      <w:r w:rsidRPr="00514DA2">
        <w:rPr>
          <w:color w:val="000000"/>
        </w:rPr>
        <w:t>Each centre should setup a repository (a web-accessible server that offers human and machine-readable access to language resources/services and their metadata</w:t>
      </w:r>
      <w:r w:rsidRPr="00514DA2">
        <w:rPr>
          <w:rStyle w:val="FootnoteAnchor"/>
          <w:color w:val="000000"/>
        </w:rPr>
        <w:footnoteReference w:id="2"/>
      </w:r>
      <w:r w:rsidRPr="00514DA2">
        <w:rPr>
          <w:color w:val="000000"/>
        </w:rPr>
        <w:t>), where data and metadata are licensed.</w:t>
      </w:r>
    </w:p>
    <w:p w14:paraId="18EA2DCF" w14:textId="6AEC19FD" w:rsidR="00031052" w:rsidRDefault="00031052">
      <w:pPr>
        <w:rPr>
          <w:color w:val="000000"/>
        </w:rPr>
      </w:pPr>
    </w:p>
    <w:p w14:paraId="7EADFD29" w14:textId="40DA926D" w:rsidR="00031052" w:rsidRDefault="00031052">
      <w:pPr>
        <w:rPr>
          <w:color w:val="000000"/>
        </w:rPr>
      </w:pPr>
      <w:r>
        <w:rPr>
          <w:color w:val="000000"/>
        </w:rPr>
        <w:t>Practical notes:</w:t>
      </w:r>
    </w:p>
    <w:p w14:paraId="1C302DC0" w14:textId="7C59567A" w:rsidR="00031052" w:rsidRDefault="00031052" w:rsidP="00514DA2">
      <w:pPr>
        <w:pStyle w:val="ListParagraph"/>
        <w:numPr>
          <w:ilvl w:val="0"/>
          <w:numId w:val="15"/>
        </w:numPr>
      </w:pPr>
      <w:r>
        <w:t xml:space="preserve">When the checklist </w:t>
      </w:r>
      <w:r w:rsidR="001C4DAA">
        <w:t>mentions providing some information, this can be done as a separate file or via a URL. In any case please mention where the information can be found.</w:t>
      </w:r>
    </w:p>
    <w:p w14:paraId="52D470A4" w14:textId="77777777" w:rsidR="002238F0" w:rsidRDefault="002238F0" w:rsidP="002238F0">
      <w:pPr>
        <w:pStyle w:val="Heading2"/>
        <w:numPr>
          <w:ilvl w:val="0"/>
          <w:numId w:val="4"/>
        </w:numPr>
      </w:pPr>
      <w:r>
        <w:t>External assessment of data centre</w:t>
      </w:r>
    </w:p>
    <w:p w14:paraId="3AF234A5" w14:textId="77777777" w:rsidR="002238F0" w:rsidRDefault="002238F0" w:rsidP="002238F0">
      <w:pPr>
        <w:jc w:val="both"/>
        <w:rPr>
          <w:b/>
          <w:color w:val="000000"/>
        </w:rPr>
      </w:pPr>
    </w:p>
    <w:p w14:paraId="78DA7B73" w14:textId="5F7E11E6" w:rsidR="002238F0" w:rsidRDefault="002238F0" w:rsidP="002238F0">
      <w:pPr>
        <w:jc w:val="both"/>
        <w:rPr>
          <w:color w:val="000000"/>
        </w:rPr>
      </w:pPr>
      <w:r>
        <w:rPr>
          <w:b/>
          <w:color w:val="000000"/>
        </w:rPr>
        <w:t>Requirement:</w:t>
      </w:r>
      <w:r>
        <w:rPr>
          <w:color w:val="000000"/>
        </w:rPr>
        <w:t xml:space="preserve"> Centres need to have a proper and clearly specified repository system and participate in a quality assessment procedure as proposed by the </w:t>
      </w:r>
      <w:proofErr w:type="spellStart"/>
      <w:r>
        <w:t>CoreTrustSeal</w:t>
      </w:r>
      <w:proofErr w:type="spellEnd"/>
      <w:r>
        <w:rPr>
          <w:color w:val="000000"/>
        </w:rPr>
        <w:t>.</w:t>
      </w:r>
    </w:p>
    <w:p w14:paraId="70BEDEFD" w14:textId="77777777" w:rsidR="002238F0" w:rsidRDefault="002238F0" w:rsidP="002238F0">
      <w:pPr>
        <w:rPr>
          <w:color w:val="000000"/>
        </w:rPr>
      </w:pPr>
    </w:p>
    <w:p w14:paraId="657D859F" w14:textId="4FB8A355" w:rsidR="002238F0" w:rsidRDefault="002238F0" w:rsidP="002238F0">
      <w:r>
        <w:rPr>
          <w:b/>
          <w:color w:val="000000"/>
        </w:rPr>
        <w:t xml:space="preserve">Details: </w:t>
      </w:r>
      <w:r>
        <w:rPr>
          <w:color w:val="000000"/>
        </w:rPr>
        <w:t xml:space="preserve">For </w:t>
      </w:r>
      <w:proofErr w:type="spellStart"/>
      <w:r>
        <w:t>CoreTrustSeal</w:t>
      </w:r>
      <w:proofErr w:type="spellEnd"/>
      <w:r>
        <w:rPr>
          <w:b/>
          <w:color w:val="000000"/>
        </w:rPr>
        <w:t xml:space="preserve"> </w:t>
      </w:r>
      <w:r>
        <w:rPr>
          <w:color w:val="000000"/>
        </w:rPr>
        <w:t xml:space="preserve">see </w:t>
      </w:r>
      <w:hyperlink r:id="rId9" w:history="1">
        <w:r w:rsidRPr="00BC0430">
          <w:rPr>
            <w:rStyle w:val="Hyperlink"/>
          </w:rPr>
          <w:t>https://www.coretrustseal.org</w:t>
        </w:r>
      </w:hyperlink>
      <w:r>
        <w:t xml:space="preserve"> .  The centre cannot be certified as a B Centre until the </w:t>
      </w:r>
      <w:proofErr w:type="spellStart"/>
      <w:r>
        <w:t>CoreTrustSeal</w:t>
      </w:r>
      <w:proofErr w:type="spellEnd"/>
      <w:r>
        <w:t xml:space="preserve"> assessment </w:t>
      </w:r>
      <w:r w:rsidR="00B00150">
        <w:t>has been successfully concluded</w:t>
      </w:r>
      <w:r>
        <w:t xml:space="preserve">, but the CLARIN assessment procedure can be completed as long as the </w:t>
      </w:r>
      <w:proofErr w:type="spellStart"/>
      <w:r>
        <w:t>CoreTrustSeal</w:t>
      </w:r>
      <w:proofErr w:type="spellEnd"/>
      <w:r>
        <w:t xml:space="preserve"> assessment is applied for. </w:t>
      </w:r>
      <w:r w:rsidRPr="00D26B27">
        <w:t xml:space="preserve">The application for the </w:t>
      </w:r>
      <w:proofErr w:type="spellStart"/>
      <w:r w:rsidRPr="00D26B27">
        <w:t>CoreTrustSeal</w:t>
      </w:r>
      <w:proofErr w:type="spellEnd"/>
      <w:r w:rsidR="00B00150">
        <w:t xml:space="preserve">, or proof that the </w:t>
      </w:r>
      <w:proofErr w:type="spellStart"/>
      <w:r w:rsidR="00B00150">
        <w:t>CoreTrustSeal</w:t>
      </w:r>
      <w:proofErr w:type="spellEnd"/>
      <w:r w:rsidR="00B00150">
        <w:t xml:space="preserve"> has been awarded,</w:t>
      </w:r>
      <w:r w:rsidRPr="00D26B27">
        <w:t xml:space="preserve"> has to be </w:t>
      </w:r>
      <w:r w:rsidR="00B00150">
        <w:t>provided.</w:t>
      </w:r>
    </w:p>
    <w:p w14:paraId="1B7C0C64" w14:textId="77777777" w:rsidR="002238F0" w:rsidRDefault="002238F0" w:rsidP="002238F0">
      <w:pPr>
        <w:rPr>
          <w:b/>
          <w:color w:val="000000"/>
        </w:rPr>
      </w:pPr>
      <w:bookmarkStart w:id="1" w:name="move431385857"/>
      <w:bookmarkEnd w:id="1"/>
    </w:p>
    <w:p w14:paraId="2EA941AC" w14:textId="329F51E5" w:rsidR="002238F0" w:rsidRDefault="002238F0" w:rsidP="00B00150">
      <w:r>
        <w:rPr>
          <w:b/>
          <w:color w:val="000000"/>
        </w:rPr>
        <w:t>Check procedure:</w:t>
      </w:r>
      <w:r>
        <w:rPr>
          <w:color w:val="000000"/>
        </w:rPr>
        <w:t xml:space="preserve"> Is the </w:t>
      </w:r>
      <w:proofErr w:type="spellStart"/>
      <w:r>
        <w:t>CoreTrustSeal</w:t>
      </w:r>
      <w:proofErr w:type="spellEnd"/>
      <w:r>
        <w:rPr>
          <w:color w:val="000000"/>
        </w:rPr>
        <w:t xml:space="preserve"> achieved or applied for? – see</w:t>
      </w:r>
      <w:r w:rsidR="00B00150">
        <w:t xml:space="preserve"> the evidence provided by the centre</w:t>
      </w:r>
    </w:p>
    <w:p w14:paraId="2E4929EB" w14:textId="77777777" w:rsidR="002238F0" w:rsidRDefault="002238F0" w:rsidP="002238F0">
      <w:pPr>
        <w:rPr>
          <w:color w:val="000000"/>
        </w:rPr>
      </w:pPr>
    </w:p>
    <w:p w14:paraId="47D9F7D2" w14:textId="77777777" w:rsidR="002238F0" w:rsidRDefault="002238F0" w:rsidP="002238F0">
      <w:pPr>
        <w:rPr>
          <w:b/>
        </w:rPr>
      </w:pPr>
      <w:r>
        <w:rPr>
          <w:b/>
        </w:rPr>
        <w:t>Centre statement:</w:t>
      </w:r>
    </w:p>
    <w:p w14:paraId="10051483" w14:textId="77777777" w:rsidR="002238F0" w:rsidRDefault="002238F0" w:rsidP="002238F0">
      <w:r>
        <w:rPr>
          <w:i/>
        </w:rPr>
        <w:t>(Add URL to application or a PDF version)</w:t>
      </w:r>
    </w:p>
    <w:p w14:paraId="7CCA1E2A" w14:textId="2FB97681" w:rsidR="00FD64AC" w:rsidRDefault="00D03A06">
      <w:pPr>
        <w:pStyle w:val="Heading2"/>
        <w:numPr>
          <w:ilvl w:val="0"/>
          <w:numId w:val="4"/>
        </w:numPr>
      </w:pPr>
      <w:r>
        <w:t xml:space="preserve">General </w:t>
      </w:r>
      <w:r w:rsidR="002D5355">
        <w:t>information</w:t>
      </w:r>
    </w:p>
    <w:p w14:paraId="1F05FD09" w14:textId="72B79907" w:rsidR="00D14854" w:rsidRDefault="00481BA3" w:rsidP="00D14854">
      <w:pPr>
        <w:pStyle w:val="Heading3"/>
      </w:pPr>
      <w:r>
        <w:t xml:space="preserve">2.a </w:t>
      </w:r>
      <w:r w:rsidRPr="00D14854">
        <w:t>Description</w:t>
      </w:r>
      <w:r w:rsidR="00D14854">
        <w:t xml:space="preserve"> of the r</w:t>
      </w:r>
      <w:r w:rsidR="00D14854" w:rsidRPr="00D14854">
        <w:t xml:space="preserve">epository's </w:t>
      </w:r>
      <w:r w:rsidR="0010079B">
        <w:t xml:space="preserve">context, </w:t>
      </w:r>
      <w:r w:rsidR="00D14854">
        <w:t>mission and scope</w:t>
      </w:r>
    </w:p>
    <w:p w14:paraId="43C9046E" w14:textId="77777777" w:rsidR="00D14854" w:rsidRDefault="00D14854" w:rsidP="00D14854">
      <w:pPr>
        <w:rPr>
          <w:b/>
          <w:color w:val="000000"/>
        </w:rPr>
      </w:pPr>
    </w:p>
    <w:p w14:paraId="11BBD8B7" w14:textId="45D2600E" w:rsidR="00D14854" w:rsidRDefault="00D14854" w:rsidP="00D14854">
      <w:r>
        <w:rPr>
          <w:b/>
          <w:color w:val="000000"/>
        </w:rPr>
        <w:t xml:space="preserve">Requirement: </w:t>
      </w:r>
      <w:r w:rsidR="00B00150">
        <w:t xml:space="preserve">The centre’s repository </w:t>
      </w:r>
      <w:r w:rsidR="0010079B">
        <w:t xml:space="preserve">context, mission and scope </w:t>
      </w:r>
      <w:proofErr w:type="gramStart"/>
      <w:r w:rsidR="0010079B">
        <w:t>needs</w:t>
      </w:r>
      <w:proofErr w:type="gramEnd"/>
      <w:r w:rsidR="0010079B">
        <w:t xml:space="preserve"> to be clearly defined.</w:t>
      </w:r>
      <w:r>
        <w:t xml:space="preserve"> </w:t>
      </w:r>
    </w:p>
    <w:p w14:paraId="6E759568" w14:textId="77777777" w:rsidR="00D14854" w:rsidRPr="00514DA2" w:rsidRDefault="00D14854" w:rsidP="00514DA2">
      <w:pPr>
        <w:rPr>
          <w:b/>
          <w:color w:val="000000"/>
        </w:rPr>
      </w:pPr>
    </w:p>
    <w:p w14:paraId="2FF1A813" w14:textId="293B3CC2" w:rsidR="00D14854" w:rsidRDefault="00D14854" w:rsidP="00D14854">
      <w:r>
        <w:rPr>
          <w:b/>
          <w:color w:val="000000"/>
        </w:rPr>
        <w:t>Details:</w:t>
      </w:r>
      <w:r w:rsidRPr="00514DA2">
        <w:rPr>
          <w:b/>
          <w:color w:val="000000"/>
        </w:rPr>
        <w:t xml:space="preserve"> </w:t>
      </w:r>
      <w:r w:rsidR="009C1022" w:rsidRPr="009C1022">
        <w:rPr>
          <w:color w:val="000000"/>
        </w:rPr>
        <w:t>The centre</w:t>
      </w:r>
      <w:r w:rsidR="009C1022">
        <w:rPr>
          <w:b/>
          <w:color w:val="000000"/>
        </w:rPr>
        <w:t xml:space="preserve"> </w:t>
      </w:r>
      <w:r w:rsidR="009C1022">
        <w:t>statements</w:t>
      </w:r>
      <w:r w:rsidR="00481BA3">
        <w:t>,</w:t>
      </w:r>
      <w:r w:rsidR="009C1022">
        <w:t xml:space="preserve"> given in R0 and R1 of the </w:t>
      </w:r>
      <w:proofErr w:type="spellStart"/>
      <w:r w:rsidR="009C1022">
        <w:t>CoreTrustSeal</w:t>
      </w:r>
      <w:proofErr w:type="spellEnd"/>
      <w:r w:rsidR="009C1022">
        <w:t xml:space="preserve"> application</w:t>
      </w:r>
      <w:r w:rsidR="00481BA3">
        <w:t>,</w:t>
      </w:r>
      <w:r w:rsidR="009C1022">
        <w:t xml:space="preserve"> </w:t>
      </w:r>
      <w:r w:rsidR="00481BA3">
        <w:t>are</w:t>
      </w:r>
      <w:r w:rsidR="009C1022">
        <w:t xml:space="preserve"> used. The centre can </w:t>
      </w:r>
      <w:r w:rsidR="00514DA2">
        <w:t xml:space="preserve">optionally </w:t>
      </w:r>
      <w:r w:rsidR="00481BA3">
        <w:t>provide</w:t>
      </w:r>
      <w:r w:rsidR="009C1022">
        <w:t xml:space="preserve"> more information.</w:t>
      </w:r>
    </w:p>
    <w:p w14:paraId="64C9ACF4" w14:textId="77777777" w:rsidR="00D14854" w:rsidRPr="00514DA2" w:rsidRDefault="00D14854" w:rsidP="00514DA2"/>
    <w:p w14:paraId="27FCF47E" w14:textId="5CF4567E" w:rsidR="00D14854" w:rsidRDefault="00D14854" w:rsidP="00D14854">
      <w:r w:rsidRPr="00514DA2">
        <w:rPr>
          <w:b/>
        </w:rPr>
        <w:t>Check procedure:</w:t>
      </w:r>
      <w:r>
        <w:rPr>
          <w:b/>
        </w:rPr>
        <w:t xml:space="preserve"> </w:t>
      </w:r>
      <w:r>
        <w:t xml:space="preserve">Check </w:t>
      </w:r>
      <w:r w:rsidR="009C1022">
        <w:t xml:space="preserve">statements given in R0 and R1 of the </w:t>
      </w:r>
      <w:proofErr w:type="spellStart"/>
      <w:r w:rsidR="009C1022">
        <w:t>CoreTrustSeal</w:t>
      </w:r>
      <w:proofErr w:type="spellEnd"/>
      <w:r w:rsidR="009C1022">
        <w:t xml:space="preserve"> application. </w:t>
      </w:r>
    </w:p>
    <w:p w14:paraId="2E3C562C" w14:textId="77777777" w:rsidR="00D14854" w:rsidRDefault="00D14854" w:rsidP="00D14854"/>
    <w:p w14:paraId="5BC2AC00" w14:textId="77777777" w:rsidR="00D14854" w:rsidRDefault="00D14854" w:rsidP="00D14854">
      <w:pPr>
        <w:rPr>
          <w:b/>
        </w:rPr>
      </w:pPr>
      <w:r>
        <w:rPr>
          <w:b/>
        </w:rPr>
        <w:t>Centre statement:</w:t>
      </w:r>
    </w:p>
    <w:p w14:paraId="49479847" w14:textId="0343164A" w:rsidR="0010079B" w:rsidRDefault="0010079B" w:rsidP="00D14854">
      <w:pPr>
        <w:rPr>
          <w:i/>
        </w:rPr>
      </w:pPr>
      <w:r>
        <w:rPr>
          <w:i/>
        </w:rPr>
        <w:t>(Not required. Optionally, additional information can be added here.)</w:t>
      </w:r>
    </w:p>
    <w:p w14:paraId="70F43AF9" w14:textId="0C53BFE9" w:rsidR="00FD64AC" w:rsidRDefault="00B50ACB" w:rsidP="0091247D">
      <w:pPr>
        <w:pStyle w:val="Heading3"/>
      </w:pPr>
      <w:r>
        <w:t>2.b</w:t>
      </w:r>
      <w:r w:rsidR="00D03A06">
        <w:t xml:space="preserve"> Centre compliancy</w:t>
      </w:r>
      <w:r w:rsidR="002F347F">
        <w:t xml:space="preserve"> (updated)</w:t>
      </w:r>
    </w:p>
    <w:p w14:paraId="64875D43" w14:textId="77777777" w:rsidR="00FD64AC" w:rsidRDefault="00FD64AC">
      <w:pPr>
        <w:rPr>
          <w:b/>
          <w:color w:val="000000"/>
        </w:rPr>
      </w:pPr>
    </w:p>
    <w:p w14:paraId="3811C874" w14:textId="3E72559B" w:rsidR="00FD64AC" w:rsidRDefault="00D03A06">
      <w:r>
        <w:rPr>
          <w:b/>
          <w:color w:val="000000"/>
        </w:rPr>
        <w:t xml:space="preserve">Requirement: </w:t>
      </w:r>
      <w:r>
        <w:t xml:space="preserve">Centres </w:t>
      </w:r>
      <w:r w:rsidR="00031052">
        <w:t xml:space="preserve">have to be recognized by a </w:t>
      </w:r>
      <w:r w:rsidR="00A14215">
        <w:t>CLARIN ERIC member or observer country</w:t>
      </w:r>
      <w:r w:rsidR="00031052">
        <w:t xml:space="preserve"> or have to be established as third party</w:t>
      </w:r>
      <w:r w:rsidR="00A14215">
        <w:rPr>
          <w:rStyle w:val="FootnoteReference"/>
        </w:rPr>
        <w:footnoteReference w:id="3"/>
      </w:r>
      <w:r w:rsidR="00031052">
        <w:t>.</w:t>
      </w:r>
    </w:p>
    <w:p w14:paraId="1D43E050" w14:textId="77777777" w:rsidR="00FD64AC" w:rsidRDefault="00FD64AC">
      <w:pPr>
        <w:rPr>
          <w:b/>
          <w:color w:val="000000"/>
        </w:rPr>
      </w:pPr>
    </w:p>
    <w:p w14:paraId="6C2242FE" w14:textId="2A119DCD" w:rsidR="00236CA6" w:rsidRDefault="00D03A06">
      <w:r>
        <w:rPr>
          <w:b/>
          <w:color w:val="000000"/>
        </w:rPr>
        <w:t xml:space="preserve">Details: </w:t>
      </w:r>
      <w:r>
        <w:t xml:space="preserve">The centre should </w:t>
      </w:r>
      <w:r w:rsidR="00031052">
        <w:t>provide a recommendation letter</w:t>
      </w:r>
      <w:r w:rsidR="00031052">
        <w:rPr>
          <w:rStyle w:val="FootnoteReference"/>
        </w:rPr>
        <w:footnoteReference w:id="4"/>
      </w:r>
      <w:r w:rsidR="00031052">
        <w:t xml:space="preserve"> from the national coordinator or the national SCCTC member.</w:t>
      </w:r>
      <w:r>
        <w:t xml:space="preserve"> </w:t>
      </w:r>
      <w:r w:rsidR="00236CA6">
        <w:t>This is only required when a centre is assessed for the first time.</w:t>
      </w:r>
      <w:r w:rsidR="00031052">
        <w:t xml:space="preserve"> </w:t>
      </w:r>
    </w:p>
    <w:p w14:paraId="7D5042A8" w14:textId="77777777" w:rsidR="00236CA6" w:rsidRDefault="00236CA6"/>
    <w:p w14:paraId="7CE26D90" w14:textId="64DBF1A9" w:rsidR="00FD64AC" w:rsidRDefault="00D03A06">
      <w:bookmarkStart w:id="2" w:name="move431386048"/>
      <w:bookmarkEnd w:id="2"/>
      <w:r>
        <w:rPr>
          <w:b/>
        </w:rPr>
        <w:t xml:space="preserve">Check procedure: </w:t>
      </w:r>
      <w:r>
        <w:t xml:space="preserve">Check that the written </w:t>
      </w:r>
      <w:r w:rsidR="009C1022">
        <w:t xml:space="preserve">recommendation letter </w:t>
      </w:r>
      <w:r>
        <w:t xml:space="preserve">exists and is signed by </w:t>
      </w:r>
      <w:r w:rsidR="009C1022">
        <w:t>the national coordinator or the national representative in the SCCTC</w:t>
      </w:r>
      <w:r>
        <w:t>.</w:t>
      </w:r>
      <w:r w:rsidR="00923590">
        <w:t xml:space="preserve"> This check is not relevant in case of re-assessment. </w:t>
      </w:r>
    </w:p>
    <w:p w14:paraId="1592328A" w14:textId="77777777" w:rsidR="00FD64AC" w:rsidRDefault="00FD64AC"/>
    <w:p w14:paraId="24A98A1D" w14:textId="77777777" w:rsidR="00FD64AC" w:rsidRDefault="00D03A06">
      <w:pPr>
        <w:rPr>
          <w:b/>
        </w:rPr>
      </w:pPr>
      <w:r>
        <w:rPr>
          <w:b/>
        </w:rPr>
        <w:t>Centre statement:</w:t>
      </w:r>
    </w:p>
    <w:p w14:paraId="172433EF" w14:textId="0599966B" w:rsidR="00FD64AC" w:rsidRDefault="009C1022">
      <w:pPr>
        <w:rPr>
          <w:i/>
        </w:rPr>
      </w:pPr>
      <w:r>
        <w:rPr>
          <w:i/>
        </w:rPr>
        <w:t>(</w:t>
      </w:r>
      <w:r w:rsidR="00031052">
        <w:rPr>
          <w:i/>
        </w:rPr>
        <w:t xml:space="preserve">Provide </w:t>
      </w:r>
      <w:r>
        <w:rPr>
          <w:i/>
        </w:rPr>
        <w:t>the letter</w:t>
      </w:r>
      <w:r w:rsidR="00D03A06">
        <w:rPr>
          <w:i/>
        </w:rPr>
        <w:t xml:space="preserve"> as</w:t>
      </w:r>
      <w:bookmarkStart w:id="3" w:name="move43138604847"/>
      <w:bookmarkEnd w:id="3"/>
      <w:r w:rsidR="00D03A06">
        <w:rPr>
          <w:i/>
        </w:rPr>
        <w:t xml:space="preserve"> a separate document together with this document)</w:t>
      </w:r>
    </w:p>
    <w:p w14:paraId="222C9198" w14:textId="702C2A03" w:rsidR="00FD64AC" w:rsidRDefault="00B50ACB">
      <w:pPr>
        <w:pStyle w:val="Heading3"/>
      </w:pPr>
      <w:r>
        <w:t>2</w:t>
      </w:r>
      <w:r w:rsidR="00D03A06">
        <w:t>.</w:t>
      </w:r>
      <w:r>
        <w:t>c</w:t>
      </w:r>
      <w:r w:rsidR="00D03A06">
        <w:t xml:space="preserve"> Visibility of connection to CLARIN</w:t>
      </w:r>
      <w:r w:rsidR="002F347F">
        <w:t xml:space="preserve"> (updated)</w:t>
      </w:r>
    </w:p>
    <w:p w14:paraId="22DA39AE" w14:textId="77777777" w:rsidR="00FD64AC" w:rsidRDefault="00FD64AC"/>
    <w:p w14:paraId="28E38A4D" w14:textId="69549632" w:rsidR="00FD64AC" w:rsidRDefault="00D03A06">
      <w:r>
        <w:rPr>
          <w:b/>
          <w:color w:val="000000"/>
        </w:rPr>
        <w:t xml:space="preserve">Requirement: </w:t>
      </w:r>
      <w:r>
        <w:t>Each centre needs to refer to CLARIN in a visible way on its website.</w:t>
      </w:r>
      <w:r w:rsidR="00DF7411">
        <w:t xml:space="preserve"> </w:t>
      </w:r>
    </w:p>
    <w:p w14:paraId="3C3D6764" w14:textId="77777777" w:rsidR="00FD64AC" w:rsidRDefault="00FD64AC">
      <w:pPr>
        <w:rPr>
          <w:b/>
          <w:color w:val="000000"/>
        </w:rPr>
      </w:pPr>
    </w:p>
    <w:p w14:paraId="1AB442BE" w14:textId="6D12E596" w:rsidR="00FD64AC" w:rsidRDefault="00D03A06">
      <w:pPr>
        <w:rPr>
          <w:color w:val="000000"/>
        </w:rPr>
      </w:pPr>
      <w:r>
        <w:rPr>
          <w:b/>
          <w:color w:val="000000"/>
        </w:rPr>
        <w:t xml:space="preserve">Details:  </w:t>
      </w:r>
      <w:r>
        <w:rPr>
          <w:color w:val="000000"/>
        </w:rPr>
        <w:t xml:space="preserve">Each centre has to have a clear reference to the CLARIN website or in other ways clearly refer to CLARIN. Another acceptable reference can be the logo and link to the national CLARIN consortium. </w:t>
      </w:r>
    </w:p>
    <w:p w14:paraId="10713D95" w14:textId="77777777" w:rsidR="0091247D" w:rsidRDefault="0091247D"/>
    <w:p w14:paraId="63542656" w14:textId="57C18B94" w:rsidR="00FD64AC" w:rsidRDefault="00D03A06">
      <w:bookmarkStart w:id="4" w:name="move431386034"/>
      <w:bookmarkEnd w:id="4"/>
      <w:r>
        <w:rPr>
          <w:b/>
        </w:rPr>
        <w:t xml:space="preserve">Check procedure: </w:t>
      </w:r>
      <w:r>
        <w:t xml:space="preserve">Check that a clear </w:t>
      </w:r>
      <w:r w:rsidR="00347832">
        <w:t xml:space="preserve">visual </w:t>
      </w:r>
      <w:r>
        <w:t xml:space="preserve">reference exists. </w:t>
      </w:r>
    </w:p>
    <w:p w14:paraId="2E4FADB3" w14:textId="77777777" w:rsidR="00FD64AC" w:rsidRDefault="00FD64AC"/>
    <w:p w14:paraId="41C77A8D" w14:textId="77777777" w:rsidR="00FD64AC" w:rsidRDefault="00D03A06">
      <w:pPr>
        <w:rPr>
          <w:b/>
        </w:rPr>
      </w:pPr>
      <w:r>
        <w:rPr>
          <w:b/>
        </w:rPr>
        <w:t>Centre statement:</w:t>
      </w:r>
    </w:p>
    <w:p w14:paraId="1CB55ADA" w14:textId="4437BA81" w:rsidR="00FD64AC" w:rsidRDefault="00D03A06">
      <w:pPr>
        <w:rPr>
          <w:i/>
        </w:rPr>
      </w:pPr>
      <w:bookmarkStart w:id="5" w:name="move43138603449"/>
      <w:bookmarkEnd w:id="5"/>
      <w:r>
        <w:rPr>
          <w:i/>
        </w:rPr>
        <w:t>(Add the URL with reference to CLARIN)</w:t>
      </w:r>
    </w:p>
    <w:p w14:paraId="4B9EFA51" w14:textId="08FE9B24" w:rsidR="00FD64AC" w:rsidRDefault="00B50ACB">
      <w:pPr>
        <w:pStyle w:val="Heading3"/>
      </w:pPr>
      <w:r>
        <w:t>2</w:t>
      </w:r>
      <w:r w:rsidR="00D03A06">
        <w:t>.</w:t>
      </w:r>
      <w:r>
        <w:t>d</w:t>
      </w:r>
      <w:r w:rsidR="00D03A06">
        <w:t xml:space="preserve"> </w:t>
      </w:r>
      <w:r w:rsidR="00E74357">
        <w:t>Continuity of access and funding support</w:t>
      </w:r>
      <w:r w:rsidR="002F347F">
        <w:t xml:space="preserve"> (updated)</w:t>
      </w:r>
    </w:p>
    <w:p w14:paraId="2CF5E24C" w14:textId="77777777" w:rsidR="00FD64AC" w:rsidRDefault="00FD64AC"/>
    <w:p w14:paraId="7E728D7D" w14:textId="58AB3D0C" w:rsidR="00FD64AC" w:rsidRDefault="00D03A06">
      <w:r>
        <w:rPr>
          <w:b/>
          <w:color w:val="000000"/>
        </w:rPr>
        <w:t xml:space="preserve">Requirement: </w:t>
      </w:r>
      <w:r>
        <w:t xml:space="preserve">Each centre needs to make explicit statements about </w:t>
      </w:r>
      <w:r w:rsidR="00E74357">
        <w:t xml:space="preserve">perspectives of continuity of access and </w:t>
      </w:r>
      <w:r w:rsidR="0054380B">
        <w:t>funding support</w:t>
      </w:r>
      <w:r w:rsidR="00D92E56">
        <w:t xml:space="preserve"> to continue</w:t>
      </w:r>
      <w:r w:rsidR="0054380B">
        <w:t xml:space="preserve"> activities as an active CLARIN centre. </w:t>
      </w:r>
    </w:p>
    <w:p w14:paraId="525F4DB1" w14:textId="77777777" w:rsidR="00E74357" w:rsidRDefault="00E74357">
      <w:pPr>
        <w:rPr>
          <w:b/>
          <w:color w:val="000000"/>
        </w:rPr>
      </w:pPr>
    </w:p>
    <w:p w14:paraId="6B544550" w14:textId="77777777" w:rsidR="00D92E56" w:rsidRDefault="00D03A06">
      <w:pPr>
        <w:rPr>
          <w:color w:val="000000"/>
        </w:rPr>
      </w:pPr>
      <w:r>
        <w:rPr>
          <w:b/>
          <w:color w:val="000000"/>
        </w:rPr>
        <w:t xml:space="preserve">Details: </w:t>
      </w:r>
      <w:r>
        <w:rPr>
          <w:color w:val="000000"/>
        </w:rPr>
        <w:t xml:space="preserve">Each centre has to give a short description of the funding situation and the future funding expectations. </w:t>
      </w:r>
    </w:p>
    <w:p w14:paraId="32F1E0E6" w14:textId="77777777" w:rsidR="00D92E56" w:rsidRDefault="00E74357" w:rsidP="00D92E56">
      <w:pPr>
        <w:pStyle w:val="ListParagraph"/>
        <w:numPr>
          <w:ilvl w:val="0"/>
          <w:numId w:val="15"/>
        </w:numPr>
      </w:pPr>
      <w:r>
        <w:t xml:space="preserve">The information from </w:t>
      </w:r>
      <w:r w:rsidR="00AC5372">
        <w:t xml:space="preserve">section </w:t>
      </w:r>
      <w:r>
        <w:t xml:space="preserve">R3 in the </w:t>
      </w:r>
      <w:proofErr w:type="spellStart"/>
      <w:r>
        <w:t>CoreTrustSeal</w:t>
      </w:r>
      <w:proofErr w:type="spellEnd"/>
      <w:r>
        <w:t xml:space="preserve"> </w:t>
      </w:r>
      <w:r w:rsidR="00AC5372">
        <w:t xml:space="preserve">application </w:t>
      </w:r>
      <w:r>
        <w:t xml:space="preserve">is seen as </w:t>
      </w:r>
      <w:r w:rsidR="0054380B">
        <w:t xml:space="preserve">part of </w:t>
      </w:r>
      <w:r>
        <w:t>documentation for this requirement.</w:t>
      </w:r>
      <w:r w:rsidRPr="00E74357">
        <w:t xml:space="preserve"> </w:t>
      </w:r>
    </w:p>
    <w:p w14:paraId="0BAAFB82" w14:textId="32716950" w:rsidR="00FD64AC" w:rsidRDefault="00E74357" w:rsidP="00514DA2">
      <w:pPr>
        <w:pStyle w:val="ListParagraph"/>
        <w:numPr>
          <w:ilvl w:val="0"/>
          <w:numId w:val="15"/>
        </w:numPr>
      </w:pPr>
      <w:r>
        <w:t xml:space="preserve">The </w:t>
      </w:r>
      <w:proofErr w:type="spellStart"/>
      <w:r>
        <w:t>centre</w:t>
      </w:r>
      <w:proofErr w:type="spellEnd"/>
      <w:r>
        <w:t xml:space="preserve"> </w:t>
      </w:r>
      <w:r w:rsidR="0054380B">
        <w:t>also need</w:t>
      </w:r>
      <w:r w:rsidR="00D92E56">
        <w:t>s</w:t>
      </w:r>
      <w:r w:rsidR="0054380B">
        <w:t xml:space="preserve"> to </w:t>
      </w:r>
      <w:r w:rsidR="00D92E56">
        <w:t>prove there is funding to stay</w:t>
      </w:r>
      <w:r w:rsidR="0054380B">
        <w:t xml:space="preserve"> an active CLARIN </w:t>
      </w:r>
      <w:proofErr w:type="spellStart"/>
      <w:r w:rsidR="0054380B">
        <w:t>centre</w:t>
      </w:r>
      <w:proofErr w:type="spellEnd"/>
      <w:r w:rsidR="0054380B">
        <w:t>.</w:t>
      </w:r>
    </w:p>
    <w:p w14:paraId="397F70E2" w14:textId="77777777" w:rsidR="00FD64AC" w:rsidRDefault="00FD64AC">
      <w:pPr>
        <w:rPr>
          <w:b/>
        </w:rPr>
      </w:pPr>
      <w:bookmarkStart w:id="6" w:name="move431386027"/>
      <w:bookmarkEnd w:id="6"/>
    </w:p>
    <w:p w14:paraId="5266B376" w14:textId="43E1E7E5" w:rsidR="0054380B" w:rsidRDefault="00D03A06" w:rsidP="0054380B">
      <w:r>
        <w:rPr>
          <w:b/>
        </w:rPr>
        <w:t xml:space="preserve">Check procedure: </w:t>
      </w:r>
      <w:r>
        <w:t>Check that description guarantees reasonable funding</w:t>
      </w:r>
      <w:r w:rsidR="00E74357">
        <w:t xml:space="preserve"> support for at least two years.</w:t>
      </w:r>
      <w:r w:rsidR="0054380B">
        <w:t xml:space="preserve"> Check the </w:t>
      </w:r>
      <w:r w:rsidR="00F0605A">
        <w:t>financing</w:t>
      </w:r>
      <w:r w:rsidR="0054380B">
        <w:t xml:space="preserve"> situation for activities as an active CLARIN centre. </w:t>
      </w:r>
    </w:p>
    <w:p w14:paraId="36B8E736" w14:textId="77777777" w:rsidR="00FD64AC" w:rsidRDefault="00FD64AC"/>
    <w:p w14:paraId="6E8AE405" w14:textId="77777777" w:rsidR="00FD64AC" w:rsidRDefault="00D03A06">
      <w:pPr>
        <w:rPr>
          <w:b/>
        </w:rPr>
      </w:pPr>
      <w:r>
        <w:rPr>
          <w:b/>
        </w:rPr>
        <w:lastRenderedPageBreak/>
        <w:t>Centre statement:</w:t>
      </w:r>
    </w:p>
    <w:p w14:paraId="615A991D" w14:textId="6A256F70" w:rsidR="00FD64AC" w:rsidRDefault="00D03A06">
      <w:pPr>
        <w:rPr>
          <w:i/>
        </w:rPr>
      </w:pPr>
      <w:bookmarkStart w:id="7" w:name="move43138602751"/>
      <w:bookmarkEnd w:id="7"/>
      <w:r>
        <w:rPr>
          <w:i/>
        </w:rPr>
        <w:t>(</w:t>
      </w:r>
      <w:r w:rsidR="00FB7251">
        <w:rPr>
          <w:i/>
        </w:rPr>
        <w:t xml:space="preserve">Provide </w:t>
      </w:r>
      <w:r w:rsidR="00AC5372">
        <w:rPr>
          <w:i/>
        </w:rPr>
        <w:t>input</w:t>
      </w:r>
      <w:r w:rsidR="0054380B">
        <w:rPr>
          <w:i/>
        </w:rPr>
        <w:t xml:space="preserve"> on </w:t>
      </w:r>
      <w:r w:rsidR="00FB7251">
        <w:rPr>
          <w:i/>
        </w:rPr>
        <w:t xml:space="preserve">funding for </w:t>
      </w:r>
      <w:r w:rsidR="0054380B">
        <w:rPr>
          <w:i/>
        </w:rPr>
        <w:t>being an active CLARIN centre</w:t>
      </w:r>
      <w:r w:rsidR="00E55D62">
        <w:rPr>
          <w:i/>
        </w:rPr>
        <w:t xml:space="preserve">, </w:t>
      </w:r>
      <w:r w:rsidR="00E55D62" w:rsidRPr="00E55D62">
        <w:rPr>
          <w:i/>
        </w:rPr>
        <w:t xml:space="preserve">section R3 in the </w:t>
      </w:r>
      <w:proofErr w:type="spellStart"/>
      <w:r w:rsidR="00E55D62" w:rsidRPr="00E55D62">
        <w:rPr>
          <w:i/>
        </w:rPr>
        <w:t>CoreTrustSeal</w:t>
      </w:r>
      <w:proofErr w:type="spellEnd"/>
      <w:r w:rsidR="0054380B">
        <w:rPr>
          <w:i/>
        </w:rPr>
        <w:t xml:space="preserve"> is also seen as part of the documentation</w:t>
      </w:r>
      <w:r>
        <w:rPr>
          <w:i/>
        </w:rPr>
        <w:t>)</w:t>
      </w:r>
    </w:p>
    <w:p w14:paraId="6BB0CCC4" w14:textId="53BC87EE" w:rsidR="00FD64AC" w:rsidRDefault="00B50ACB">
      <w:pPr>
        <w:pStyle w:val="Heading3"/>
      </w:pPr>
      <w:r>
        <w:t>2</w:t>
      </w:r>
      <w:r w:rsidR="00D03A06">
        <w:t>.</w:t>
      </w:r>
      <w:r>
        <w:t>e</w:t>
      </w:r>
      <w:r w:rsidR="00D03A06">
        <w:t xml:space="preserve"> </w:t>
      </w:r>
      <w:r w:rsidR="00E74357">
        <w:t>Details about r</w:t>
      </w:r>
      <w:r w:rsidR="00D03A06">
        <w:t>esources and services provided</w:t>
      </w:r>
      <w:r w:rsidR="002F347F">
        <w:t xml:space="preserve"> (updated)</w:t>
      </w:r>
    </w:p>
    <w:p w14:paraId="78AC763B" w14:textId="77777777" w:rsidR="00FD64AC" w:rsidRDefault="00FD64AC"/>
    <w:p w14:paraId="0B40BF88" w14:textId="6872EDD2" w:rsidR="00FD64AC" w:rsidRDefault="00D03A06">
      <w:r>
        <w:rPr>
          <w:b/>
          <w:color w:val="000000"/>
        </w:rPr>
        <w:t xml:space="preserve">Requirement: </w:t>
      </w:r>
      <w:r>
        <w:t>Each centre needs to make explicit statements about CLARIN compliant resources and services available at the centre.</w:t>
      </w:r>
      <w:r w:rsidR="00314DF5">
        <w:t xml:space="preserve"> </w:t>
      </w:r>
    </w:p>
    <w:p w14:paraId="2AA69FAE" w14:textId="77777777" w:rsidR="00C51EF4" w:rsidRDefault="00C51EF4"/>
    <w:p w14:paraId="1E060823" w14:textId="4A98A27C" w:rsidR="00314DF5" w:rsidRDefault="00C51EF4">
      <w:r>
        <w:t>Please note that d</w:t>
      </w:r>
      <w:r w:rsidRPr="40B985CA">
        <w:t xml:space="preserve">ocuments and web pages </w:t>
      </w:r>
      <w:r w:rsidR="00236CA6">
        <w:t>referred</w:t>
      </w:r>
      <w:r>
        <w:t xml:space="preserve"> to as background information for the assessment </w:t>
      </w:r>
      <w:r w:rsidRPr="40B985CA">
        <w:t xml:space="preserve">must be </w:t>
      </w:r>
      <w:r>
        <w:t xml:space="preserve">in English or </w:t>
      </w:r>
      <w:r w:rsidR="00236CA6">
        <w:t xml:space="preserve">must be </w:t>
      </w:r>
      <w:r w:rsidRPr="40B985CA">
        <w:t>accompanied by a summary in English.</w:t>
      </w:r>
    </w:p>
    <w:p w14:paraId="4E006EE4" w14:textId="01B33EA3" w:rsidR="00FD64AC" w:rsidRDefault="00D03A06">
      <w:pPr>
        <w:pStyle w:val="Heading3"/>
        <w:rPr>
          <w:rFonts w:asciiTheme="minorHAnsi" w:eastAsia="Times New Roman" w:hAnsiTheme="minorHAnsi" w:cs="Times New Roman"/>
          <w:b w:val="0"/>
          <w:bCs w:val="0"/>
          <w:color w:val="00000A"/>
        </w:rPr>
      </w:pPr>
      <w:r w:rsidRPr="004016EC">
        <w:rPr>
          <w:rFonts w:asciiTheme="minorHAnsi" w:hAnsiTheme="minorHAnsi"/>
          <w:color w:val="000000"/>
        </w:rPr>
        <w:t>Details:</w:t>
      </w:r>
      <w:r>
        <w:rPr>
          <w:color w:val="000000"/>
        </w:rPr>
        <w:t xml:space="preserve"> </w:t>
      </w:r>
      <w:bookmarkStart w:id="8" w:name="move431387798"/>
      <w:r w:rsidRPr="00CE2375">
        <w:rPr>
          <w:rFonts w:asciiTheme="minorHAnsi" w:eastAsia="Times New Roman" w:hAnsiTheme="minorHAnsi" w:cs="Times New Roman"/>
          <w:b w:val="0"/>
          <w:bCs w:val="0"/>
          <w:color w:val="00000A"/>
        </w:rPr>
        <w:t xml:space="preserve">The centre should offer </w:t>
      </w:r>
      <w:r>
        <w:rPr>
          <w:rFonts w:asciiTheme="minorHAnsi" w:eastAsia="Times New Roman" w:hAnsiTheme="minorHAnsi" w:cs="Times New Roman"/>
          <w:b w:val="0"/>
          <w:bCs w:val="0"/>
          <w:color w:val="00000A"/>
        </w:rPr>
        <w:t xml:space="preserve">online </w:t>
      </w:r>
      <w:r w:rsidRPr="00CE2375">
        <w:rPr>
          <w:rFonts w:asciiTheme="minorHAnsi" w:eastAsia="Times New Roman" w:hAnsiTheme="minorHAnsi" w:cs="Times New Roman"/>
          <w:b w:val="0"/>
          <w:bCs w:val="0"/>
          <w:color w:val="00000A"/>
        </w:rPr>
        <w:t xml:space="preserve">data access </w:t>
      </w:r>
      <w:r>
        <w:rPr>
          <w:rFonts w:asciiTheme="minorHAnsi" w:eastAsia="Times New Roman" w:hAnsiTheme="minorHAnsi" w:cs="Times New Roman"/>
          <w:b w:val="0"/>
          <w:bCs w:val="0"/>
          <w:color w:val="00000A"/>
        </w:rPr>
        <w:t>and</w:t>
      </w:r>
      <w:r w:rsidR="004016EC">
        <w:rPr>
          <w:rFonts w:asciiTheme="minorHAnsi" w:eastAsia="Times New Roman" w:hAnsiTheme="minorHAnsi" w:cs="Times New Roman"/>
          <w:b w:val="0"/>
          <w:bCs w:val="0"/>
          <w:color w:val="00000A"/>
        </w:rPr>
        <w:t>/or</w:t>
      </w:r>
      <w:r>
        <w:rPr>
          <w:rFonts w:asciiTheme="minorHAnsi" w:eastAsia="Times New Roman" w:hAnsiTheme="minorHAnsi" w:cs="Times New Roman"/>
          <w:b w:val="0"/>
          <w:bCs w:val="0"/>
          <w:color w:val="00000A"/>
        </w:rPr>
        <w:t xml:space="preserve"> services </w:t>
      </w:r>
      <w:r w:rsidRPr="00CE2375">
        <w:rPr>
          <w:rFonts w:asciiTheme="minorHAnsi" w:eastAsia="Times New Roman" w:hAnsiTheme="minorHAnsi" w:cs="Times New Roman"/>
          <w:b w:val="0"/>
          <w:bCs w:val="0"/>
          <w:color w:val="00000A"/>
        </w:rPr>
        <w:t>for users from other CLARIN ERIC countries.</w:t>
      </w:r>
      <w:bookmarkEnd w:id="8"/>
      <w:r>
        <w:rPr>
          <w:rFonts w:asciiTheme="minorHAnsi" w:eastAsia="Times New Roman" w:hAnsiTheme="minorHAnsi" w:cs="Times New Roman"/>
          <w:b w:val="0"/>
          <w:bCs w:val="0"/>
          <w:color w:val="00000A"/>
        </w:rPr>
        <w:t xml:space="preserve"> Therefore, each centre has to give a short description of the resources</w:t>
      </w:r>
      <w:r w:rsidR="007A2D36">
        <w:rPr>
          <w:rFonts w:asciiTheme="minorHAnsi" w:eastAsia="Times New Roman" w:hAnsiTheme="minorHAnsi" w:cs="Times New Roman"/>
          <w:b w:val="0"/>
          <w:bCs w:val="0"/>
          <w:color w:val="00000A"/>
        </w:rPr>
        <w:t xml:space="preserve"> and services</w:t>
      </w:r>
      <w:r>
        <w:rPr>
          <w:rFonts w:asciiTheme="minorHAnsi" w:eastAsia="Times New Roman" w:hAnsiTheme="minorHAnsi" w:cs="Times New Roman"/>
          <w:b w:val="0"/>
          <w:bCs w:val="0"/>
          <w:color w:val="00000A"/>
        </w:rPr>
        <w:t xml:space="preserve"> </w:t>
      </w:r>
      <w:r w:rsidR="00E74357">
        <w:rPr>
          <w:rFonts w:asciiTheme="minorHAnsi" w:eastAsia="Times New Roman" w:hAnsiTheme="minorHAnsi" w:cs="Times New Roman"/>
          <w:b w:val="0"/>
          <w:bCs w:val="0"/>
          <w:color w:val="00000A"/>
        </w:rPr>
        <w:t xml:space="preserve">offered to the CLARIN community, </w:t>
      </w:r>
      <w:r w:rsidR="00DF7411">
        <w:rPr>
          <w:rFonts w:asciiTheme="minorHAnsi" w:eastAsia="Times New Roman" w:hAnsiTheme="minorHAnsi" w:cs="Times New Roman"/>
          <w:b w:val="0"/>
          <w:bCs w:val="0"/>
          <w:color w:val="00000A"/>
        </w:rPr>
        <w:t>including</w:t>
      </w:r>
      <w:r w:rsidR="00E74357">
        <w:rPr>
          <w:rFonts w:asciiTheme="minorHAnsi" w:eastAsia="Times New Roman" w:hAnsiTheme="minorHAnsi" w:cs="Times New Roman"/>
          <w:b w:val="0"/>
          <w:bCs w:val="0"/>
          <w:color w:val="00000A"/>
        </w:rPr>
        <w:t xml:space="preserve"> which resources that are accessible without restrictions and which have access restrictions. </w:t>
      </w:r>
      <w:r w:rsidR="00DF7411">
        <w:rPr>
          <w:rFonts w:asciiTheme="minorHAnsi" w:eastAsia="Times New Roman" w:hAnsiTheme="minorHAnsi" w:cs="Times New Roman"/>
          <w:b w:val="0"/>
          <w:bCs w:val="0"/>
          <w:color w:val="00000A"/>
        </w:rPr>
        <w:t>Add</w:t>
      </w:r>
      <w:r w:rsidR="00E74357">
        <w:rPr>
          <w:rFonts w:asciiTheme="minorHAnsi" w:eastAsia="Times New Roman" w:hAnsiTheme="minorHAnsi" w:cs="Times New Roman"/>
          <w:b w:val="0"/>
          <w:bCs w:val="0"/>
          <w:color w:val="00000A"/>
        </w:rPr>
        <w:t xml:space="preserve"> information about which data </w:t>
      </w:r>
      <w:r w:rsidR="00323C06">
        <w:rPr>
          <w:rFonts w:asciiTheme="minorHAnsi" w:eastAsia="Times New Roman" w:hAnsiTheme="minorHAnsi" w:cs="Times New Roman"/>
          <w:b w:val="0"/>
          <w:bCs w:val="0"/>
          <w:color w:val="00000A"/>
        </w:rPr>
        <w:t xml:space="preserve">that </w:t>
      </w:r>
      <w:r w:rsidR="00E74357">
        <w:rPr>
          <w:rFonts w:asciiTheme="minorHAnsi" w:eastAsia="Times New Roman" w:hAnsiTheme="minorHAnsi" w:cs="Times New Roman"/>
          <w:b w:val="0"/>
          <w:bCs w:val="0"/>
          <w:color w:val="00000A"/>
        </w:rPr>
        <w:t xml:space="preserve">are </w:t>
      </w:r>
      <w:r w:rsidR="00DF7411" w:rsidRPr="00DF7411">
        <w:rPr>
          <w:rFonts w:asciiTheme="minorHAnsi" w:eastAsia="Times New Roman" w:hAnsiTheme="minorHAnsi" w:cs="Times New Roman"/>
          <w:bCs w:val="0"/>
          <w:color w:val="00000A"/>
        </w:rPr>
        <w:t>not</w:t>
      </w:r>
      <w:r w:rsidR="00DF7411">
        <w:rPr>
          <w:rFonts w:asciiTheme="minorHAnsi" w:eastAsia="Times New Roman" w:hAnsiTheme="minorHAnsi" w:cs="Times New Roman"/>
          <w:b w:val="0"/>
          <w:bCs w:val="0"/>
          <w:color w:val="00000A"/>
        </w:rPr>
        <w:t xml:space="preserve"> harvested </w:t>
      </w:r>
      <w:r w:rsidR="00E74357">
        <w:rPr>
          <w:rFonts w:asciiTheme="minorHAnsi" w:eastAsia="Times New Roman" w:hAnsiTheme="minorHAnsi" w:cs="Times New Roman"/>
          <w:b w:val="0"/>
          <w:bCs w:val="0"/>
          <w:color w:val="00000A"/>
        </w:rPr>
        <w:t>by vlo.clarin.eu</w:t>
      </w:r>
      <w:r w:rsidR="00DF7411">
        <w:rPr>
          <w:rFonts w:asciiTheme="minorHAnsi" w:eastAsia="Times New Roman" w:hAnsiTheme="minorHAnsi" w:cs="Times New Roman"/>
          <w:b w:val="0"/>
          <w:bCs w:val="0"/>
          <w:color w:val="00000A"/>
        </w:rPr>
        <w:t xml:space="preserve">. </w:t>
      </w:r>
    </w:p>
    <w:p w14:paraId="2FACB818" w14:textId="101F2F37" w:rsidR="004016EC" w:rsidRDefault="004016EC" w:rsidP="004016EC"/>
    <w:p w14:paraId="14CBB47D" w14:textId="1E57E465" w:rsidR="004016EC" w:rsidRDefault="004016EC" w:rsidP="004016EC">
      <w:pPr>
        <w:ind w:left="720"/>
        <w:rPr>
          <w:b/>
          <w:color w:val="000000"/>
        </w:rPr>
      </w:pPr>
      <w:r>
        <w:rPr>
          <w:b/>
          <w:color w:val="000000"/>
        </w:rPr>
        <w:t>Why?</w:t>
      </w:r>
    </w:p>
    <w:p w14:paraId="2CE1A7B2" w14:textId="4E8F48E2" w:rsidR="004016EC" w:rsidRDefault="004016EC" w:rsidP="004016EC">
      <w:pPr>
        <w:ind w:left="720"/>
        <w:rPr>
          <w:color w:val="000000"/>
        </w:rPr>
      </w:pPr>
      <w:r w:rsidRPr="00514DA2">
        <w:rPr>
          <w:color w:val="000000"/>
        </w:rPr>
        <w:t>To ensure</w:t>
      </w:r>
      <w:r>
        <w:rPr>
          <w:color w:val="000000"/>
        </w:rPr>
        <w:t xml:space="preserve"> the Accessibility of FAIR: either the data or services are openly available, or they are easily accessible via </w:t>
      </w:r>
      <w:hyperlink r:id="rId10" w:history="1">
        <w:r w:rsidRPr="00866D6D">
          <w:rPr>
            <w:rStyle w:val="Hyperlink"/>
          </w:rPr>
          <w:t>Federated Login</w:t>
        </w:r>
      </w:hyperlink>
      <w:r>
        <w:rPr>
          <w:color w:val="000000"/>
        </w:rPr>
        <w:t xml:space="preserve">. In the latter case users from at least all CLARIN ERIC member countries should be able to login. </w:t>
      </w:r>
      <w:r w:rsidR="00B364A5">
        <w:rPr>
          <w:color w:val="000000"/>
        </w:rPr>
        <w:t>Seamless c</w:t>
      </w:r>
      <w:r>
        <w:rPr>
          <w:color w:val="000000"/>
        </w:rPr>
        <w:t xml:space="preserve">ross-border </w:t>
      </w:r>
      <w:r w:rsidR="00B364A5">
        <w:rPr>
          <w:color w:val="000000"/>
        </w:rPr>
        <w:t>authentication is part of CLARIN’s mission.</w:t>
      </w:r>
    </w:p>
    <w:p w14:paraId="39EA0DA0" w14:textId="63197429" w:rsidR="004016EC" w:rsidRDefault="004016EC" w:rsidP="004016EC">
      <w:pPr>
        <w:ind w:left="720"/>
        <w:rPr>
          <w:color w:val="000000"/>
        </w:rPr>
      </w:pPr>
    </w:p>
    <w:p w14:paraId="1762FE77" w14:textId="1B8D7BDA" w:rsidR="004016EC" w:rsidRPr="00514DA2" w:rsidRDefault="004016EC" w:rsidP="00514DA2">
      <w:pPr>
        <w:rPr>
          <w:b/>
          <w:bCs/>
        </w:rPr>
      </w:pPr>
    </w:p>
    <w:p w14:paraId="01AAFA4C" w14:textId="77777777" w:rsidR="00FD64AC" w:rsidRDefault="00FD64AC"/>
    <w:p w14:paraId="1750E471" w14:textId="067AC2B7" w:rsidR="00FD64AC" w:rsidRDefault="00D03A06">
      <w:r>
        <w:rPr>
          <w:b/>
        </w:rPr>
        <w:t xml:space="preserve">Check procedure: </w:t>
      </w:r>
      <w:r>
        <w:t xml:space="preserve">Check that the centre states it is offering data and services for users from CLARIN ERIC countries </w:t>
      </w:r>
      <w:r w:rsidR="0051709B">
        <w:t>–</w:t>
      </w:r>
      <w:r>
        <w:t xml:space="preserve"> either public resources, or via login using the </w:t>
      </w:r>
      <w:hyperlink r:id="rId11" w:history="1">
        <w:r w:rsidRPr="00866D6D">
          <w:rPr>
            <w:rStyle w:val="Hyperlink"/>
          </w:rPr>
          <w:t>CLARIN Id</w:t>
        </w:r>
        <w:r w:rsidR="00866D6D" w:rsidRPr="00866D6D">
          <w:rPr>
            <w:rStyle w:val="Hyperlink"/>
          </w:rPr>
          <w:t xml:space="preserve">entity </w:t>
        </w:r>
        <w:r w:rsidRPr="00866D6D">
          <w:rPr>
            <w:rStyle w:val="Hyperlink"/>
          </w:rPr>
          <w:t>P</w:t>
        </w:r>
        <w:r w:rsidR="00866D6D" w:rsidRPr="00866D6D">
          <w:rPr>
            <w:rStyle w:val="Hyperlink"/>
          </w:rPr>
          <w:t>rovider</w:t>
        </w:r>
      </w:hyperlink>
      <w:r>
        <w:t xml:space="preserve"> </w:t>
      </w:r>
      <w:r w:rsidR="00EB24BB">
        <w:t>and</w:t>
      </w:r>
      <w:r>
        <w:t xml:space="preserve"> national </w:t>
      </w:r>
      <w:hyperlink r:id="rId12" w:history="1">
        <w:bookmarkStart w:id="9" w:name="move431387901"/>
        <w:bookmarkEnd w:id="9"/>
        <w:r w:rsidR="00866D6D" w:rsidRPr="00866D6D">
          <w:rPr>
            <w:rStyle w:val="Hyperlink"/>
          </w:rPr>
          <w:t>Identity Federations</w:t>
        </w:r>
      </w:hyperlink>
      <w:r>
        <w:t>.</w:t>
      </w:r>
    </w:p>
    <w:p w14:paraId="15588AB0" w14:textId="77777777" w:rsidR="00FD64AC" w:rsidRDefault="00FD64AC"/>
    <w:p w14:paraId="00CD3EEF" w14:textId="77777777" w:rsidR="00FD64AC" w:rsidRDefault="00D03A06">
      <w:pPr>
        <w:rPr>
          <w:b/>
        </w:rPr>
      </w:pPr>
      <w:r>
        <w:rPr>
          <w:b/>
        </w:rPr>
        <w:t>Centre statement:</w:t>
      </w:r>
    </w:p>
    <w:p w14:paraId="5CF404C1" w14:textId="6AFC3EE2" w:rsidR="00FD64AC" w:rsidRDefault="00D03A06">
      <w:pPr>
        <w:rPr>
          <w:i/>
        </w:rPr>
      </w:pPr>
      <w:r>
        <w:rPr>
          <w:i/>
        </w:rPr>
        <w:t>(Add description here)</w:t>
      </w:r>
    </w:p>
    <w:p w14:paraId="6A055A69" w14:textId="7558C222" w:rsidR="00F94FD0" w:rsidRDefault="00F94FD0">
      <w:pPr>
        <w:rPr>
          <w:i/>
        </w:rPr>
      </w:pPr>
    </w:p>
    <w:tbl>
      <w:tblPr>
        <w:tblStyle w:val="TableGrid"/>
        <w:tblW w:w="5000" w:type="pct"/>
        <w:tblLook w:val="04A0" w:firstRow="1" w:lastRow="0" w:firstColumn="1" w:lastColumn="0" w:noHBand="0" w:noVBand="1"/>
      </w:tblPr>
      <w:tblGrid>
        <w:gridCol w:w="2764"/>
        <w:gridCol w:w="2765"/>
        <w:gridCol w:w="2767"/>
      </w:tblGrid>
      <w:tr w:rsidR="007A2D36" w14:paraId="7BF6F5A0" w14:textId="77777777" w:rsidTr="00945751">
        <w:tc>
          <w:tcPr>
            <w:tcW w:w="1382" w:type="dxa"/>
          </w:tcPr>
          <w:p w14:paraId="20F6B388" w14:textId="29F6D767" w:rsidR="007A2D36" w:rsidRPr="00945751" w:rsidRDefault="007A2D36" w:rsidP="00B77ECA">
            <w:pPr>
              <w:rPr>
                <w:i/>
              </w:rPr>
            </w:pPr>
          </w:p>
        </w:tc>
        <w:tc>
          <w:tcPr>
            <w:tcW w:w="1382" w:type="dxa"/>
          </w:tcPr>
          <w:p w14:paraId="33523DD3" w14:textId="541AAD9D" w:rsidR="007A2D36" w:rsidRPr="00945751" w:rsidRDefault="007A2D36" w:rsidP="00B77ECA">
            <w:pPr>
              <w:rPr>
                <w:i/>
              </w:rPr>
            </w:pPr>
            <w:r w:rsidRPr="00945751">
              <w:rPr>
                <w:i/>
              </w:rPr>
              <w:t>Description</w:t>
            </w:r>
          </w:p>
        </w:tc>
        <w:tc>
          <w:tcPr>
            <w:tcW w:w="1383" w:type="dxa"/>
          </w:tcPr>
          <w:p w14:paraId="751AA430" w14:textId="1E835021" w:rsidR="007A2D36" w:rsidRPr="00945751" w:rsidRDefault="007A2D36" w:rsidP="00B77ECA">
            <w:pPr>
              <w:rPr>
                <w:i/>
              </w:rPr>
            </w:pPr>
            <w:r w:rsidRPr="00945751">
              <w:rPr>
                <w:i/>
              </w:rPr>
              <w:t>Access level</w:t>
            </w:r>
          </w:p>
        </w:tc>
      </w:tr>
      <w:tr w:rsidR="007A2D36" w14:paraId="10B4ACF0" w14:textId="77777777" w:rsidTr="00945751">
        <w:tc>
          <w:tcPr>
            <w:tcW w:w="1382" w:type="dxa"/>
          </w:tcPr>
          <w:p w14:paraId="4C3A07B1" w14:textId="32598B2A" w:rsidR="007A2D36" w:rsidRPr="00945751" w:rsidRDefault="007A2D36" w:rsidP="00B77ECA">
            <w:pPr>
              <w:rPr>
                <w:i/>
              </w:rPr>
            </w:pPr>
            <w:r w:rsidRPr="00945751">
              <w:rPr>
                <w:i/>
              </w:rPr>
              <w:t>Data</w:t>
            </w:r>
          </w:p>
        </w:tc>
        <w:tc>
          <w:tcPr>
            <w:tcW w:w="1382" w:type="dxa"/>
          </w:tcPr>
          <w:p w14:paraId="6945E1D9" w14:textId="77777777" w:rsidR="007A2D36" w:rsidRPr="00945751" w:rsidRDefault="007A2D36" w:rsidP="00B77ECA">
            <w:pPr>
              <w:rPr>
                <w:i/>
              </w:rPr>
            </w:pPr>
          </w:p>
        </w:tc>
        <w:tc>
          <w:tcPr>
            <w:tcW w:w="1383" w:type="dxa"/>
          </w:tcPr>
          <w:p w14:paraId="38F625CA" w14:textId="77777777" w:rsidR="007A2D36" w:rsidRPr="00945751" w:rsidRDefault="007A2D36" w:rsidP="00B77ECA">
            <w:pPr>
              <w:rPr>
                <w:i/>
              </w:rPr>
            </w:pPr>
          </w:p>
        </w:tc>
      </w:tr>
      <w:tr w:rsidR="007A2D36" w14:paraId="385C4CD3" w14:textId="77777777" w:rsidTr="00945751">
        <w:tc>
          <w:tcPr>
            <w:tcW w:w="1382" w:type="dxa"/>
          </w:tcPr>
          <w:p w14:paraId="7E5B2B9B" w14:textId="2A80F042" w:rsidR="007A2D36" w:rsidRPr="00945751" w:rsidRDefault="007A2D36" w:rsidP="00B77ECA">
            <w:pPr>
              <w:rPr>
                <w:i/>
              </w:rPr>
            </w:pPr>
          </w:p>
        </w:tc>
        <w:tc>
          <w:tcPr>
            <w:tcW w:w="1382" w:type="dxa"/>
          </w:tcPr>
          <w:p w14:paraId="0AA4D0E6" w14:textId="77777777" w:rsidR="007A2D36" w:rsidRPr="00945751" w:rsidRDefault="007A2D36" w:rsidP="00B77ECA">
            <w:pPr>
              <w:rPr>
                <w:i/>
              </w:rPr>
            </w:pPr>
          </w:p>
        </w:tc>
        <w:tc>
          <w:tcPr>
            <w:tcW w:w="1383" w:type="dxa"/>
          </w:tcPr>
          <w:p w14:paraId="6FEEB722" w14:textId="77777777" w:rsidR="007A2D36" w:rsidRPr="00945751" w:rsidRDefault="007A2D36" w:rsidP="00B77ECA">
            <w:pPr>
              <w:rPr>
                <w:i/>
              </w:rPr>
            </w:pPr>
          </w:p>
        </w:tc>
      </w:tr>
      <w:tr w:rsidR="007A2D36" w14:paraId="1F730809" w14:textId="77777777" w:rsidTr="00945751">
        <w:tc>
          <w:tcPr>
            <w:tcW w:w="1382" w:type="dxa"/>
          </w:tcPr>
          <w:p w14:paraId="47FC04AE" w14:textId="702BF5DC" w:rsidR="007A2D36" w:rsidRPr="00945751" w:rsidRDefault="007A2D36" w:rsidP="00B77ECA">
            <w:pPr>
              <w:rPr>
                <w:i/>
              </w:rPr>
            </w:pPr>
            <w:r w:rsidRPr="00945751">
              <w:rPr>
                <w:i/>
              </w:rPr>
              <w:t>Services</w:t>
            </w:r>
          </w:p>
        </w:tc>
        <w:tc>
          <w:tcPr>
            <w:tcW w:w="1382" w:type="dxa"/>
          </w:tcPr>
          <w:p w14:paraId="2A4C72BC" w14:textId="77777777" w:rsidR="007A2D36" w:rsidRPr="00945751" w:rsidRDefault="007A2D36" w:rsidP="00B77ECA">
            <w:pPr>
              <w:rPr>
                <w:i/>
              </w:rPr>
            </w:pPr>
          </w:p>
        </w:tc>
        <w:tc>
          <w:tcPr>
            <w:tcW w:w="1383" w:type="dxa"/>
          </w:tcPr>
          <w:p w14:paraId="51DA62DF" w14:textId="77777777" w:rsidR="007A2D36" w:rsidRPr="00945751" w:rsidRDefault="007A2D36" w:rsidP="00B77ECA">
            <w:pPr>
              <w:rPr>
                <w:i/>
              </w:rPr>
            </w:pPr>
          </w:p>
        </w:tc>
      </w:tr>
      <w:tr w:rsidR="007A2D36" w14:paraId="6391A52D" w14:textId="77777777" w:rsidTr="00945751">
        <w:tc>
          <w:tcPr>
            <w:tcW w:w="1382" w:type="dxa"/>
          </w:tcPr>
          <w:p w14:paraId="1B0816D7" w14:textId="77777777" w:rsidR="007A2D36" w:rsidRPr="00945751" w:rsidRDefault="007A2D36" w:rsidP="00B77ECA">
            <w:pPr>
              <w:rPr>
                <w:i/>
              </w:rPr>
            </w:pPr>
          </w:p>
        </w:tc>
        <w:tc>
          <w:tcPr>
            <w:tcW w:w="1382" w:type="dxa"/>
          </w:tcPr>
          <w:p w14:paraId="2060FA38" w14:textId="77777777" w:rsidR="007A2D36" w:rsidRPr="00945751" w:rsidRDefault="007A2D36" w:rsidP="00B77ECA">
            <w:pPr>
              <w:rPr>
                <w:i/>
              </w:rPr>
            </w:pPr>
          </w:p>
        </w:tc>
        <w:tc>
          <w:tcPr>
            <w:tcW w:w="1383" w:type="dxa"/>
          </w:tcPr>
          <w:p w14:paraId="436BEE17" w14:textId="77777777" w:rsidR="007A2D36" w:rsidRPr="00945751" w:rsidRDefault="007A2D36" w:rsidP="00B77ECA">
            <w:pPr>
              <w:rPr>
                <w:i/>
              </w:rPr>
            </w:pPr>
          </w:p>
        </w:tc>
      </w:tr>
      <w:tr w:rsidR="007A2D36" w14:paraId="6F2A6FC9" w14:textId="77777777" w:rsidTr="00945751">
        <w:tc>
          <w:tcPr>
            <w:tcW w:w="1382" w:type="dxa"/>
          </w:tcPr>
          <w:p w14:paraId="657A8A15" w14:textId="77777777" w:rsidR="007A2D36" w:rsidRPr="00945751" w:rsidRDefault="007A2D36" w:rsidP="00B77ECA">
            <w:pPr>
              <w:rPr>
                <w:i/>
              </w:rPr>
            </w:pPr>
          </w:p>
        </w:tc>
        <w:tc>
          <w:tcPr>
            <w:tcW w:w="1382" w:type="dxa"/>
          </w:tcPr>
          <w:p w14:paraId="2910468F" w14:textId="77777777" w:rsidR="007A2D36" w:rsidRPr="00945751" w:rsidRDefault="007A2D36" w:rsidP="00B77ECA">
            <w:pPr>
              <w:rPr>
                <w:i/>
              </w:rPr>
            </w:pPr>
          </w:p>
        </w:tc>
        <w:tc>
          <w:tcPr>
            <w:tcW w:w="1383" w:type="dxa"/>
          </w:tcPr>
          <w:p w14:paraId="706FAA3F" w14:textId="77777777" w:rsidR="007A2D36" w:rsidRPr="00945751" w:rsidRDefault="007A2D36" w:rsidP="00B77ECA">
            <w:pPr>
              <w:rPr>
                <w:i/>
              </w:rPr>
            </w:pPr>
          </w:p>
        </w:tc>
      </w:tr>
    </w:tbl>
    <w:p w14:paraId="691C98D8" w14:textId="09209879" w:rsidR="00B77ECA" w:rsidRDefault="00B77ECA">
      <w:pPr>
        <w:rPr>
          <w:i/>
        </w:rPr>
      </w:pPr>
    </w:p>
    <w:p w14:paraId="4286130D" w14:textId="03AF4836" w:rsidR="00B77ECA" w:rsidRDefault="00945751">
      <w:pPr>
        <w:rPr>
          <w:i/>
        </w:rPr>
      </w:pPr>
      <w:r>
        <w:rPr>
          <w:i/>
        </w:rPr>
        <w:t>As illustrated in the example below:</w:t>
      </w:r>
    </w:p>
    <w:p w14:paraId="3B5A1A67" w14:textId="0AB3C035" w:rsidR="00B77ECA" w:rsidRDefault="00B77ECA">
      <w:pPr>
        <w:rPr>
          <w:i/>
        </w:rPr>
      </w:pPr>
    </w:p>
    <w:tbl>
      <w:tblPr>
        <w:tblStyle w:val="TableGrid"/>
        <w:tblW w:w="5000" w:type="pct"/>
        <w:tblLook w:val="04A0" w:firstRow="1" w:lastRow="0" w:firstColumn="1" w:lastColumn="0" w:noHBand="0" w:noVBand="1"/>
      </w:tblPr>
      <w:tblGrid>
        <w:gridCol w:w="2764"/>
        <w:gridCol w:w="2765"/>
        <w:gridCol w:w="2767"/>
      </w:tblGrid>
      <w:tr w:rsidR="00945751" w14:paraId="2EFB5776" w14:textId="77777777" w:rsidTr="00945751">
        <w:tc>
          <w:tcPr>
            <w:tcW w:w="1382" w:type="dxa"/>
          </w:tcPr>
          <w:p w14:paraId="5C979A7A" w14:textId="77777777" w:rsidR="00945751" w:rsidRDefault="00945751" w:rsidP="00395D8E">
            <w:pPr>
              <w:rPr>
                <w:i/>
              </w:rPr>
            </w:pPr>
          </w:p>
        </w:tc>
        <w:tc>
          <w:tcPr>
            <w:tcW w:w="1382" w:type="dxa"/>
          </w:tcPr>
          <w:p w14:paraId="3F0E2146" w14:textId="77777777" w:rsidR="00945751" w:rsidRDefault="00945751" w:rsidP="00395D8E">
            <w:pPr>
              <w:rPr>
                <w:i/>
              </w:rPr>
            </w:pPr>
            <w:r>
              <w:rPr>
                <w:i/>
              </w:rPr>
              <w:t>Description</w:t>
            </w:r>
          </w:p>
        </w:tc>
        <w:tc>
          <w:tcPr>
            <w:tcW w:w="1383" w:type="dxa"/>
          </w:tcPr>
          <w:p w14:paraId="1C1F43F0" w14:textId="77777777" w:rsidR="00945751" w:rsidRDefault="00945751" w:rsidP="00395D8E">
            <w:pPr>
              <w:rPr>
                <w:i/>
              </w:rPr>
            </w:pPr>
            <w:r>
              <w:rPr>
                <w:i/>
              </w:rPr>
              <w:t>Access level</w:t>
            </w:r>
          </w:p>
        </w:tc>
      </w:tr>
      <w:tr w:rsidR="00945751" w14:paraId="07A7F6F6" w14:textId="77777777" w:rsidTr="00945751">
        <w:tc>
          <w:tcPr>
            <w:tcW w:w="1382" w:type="dxa"/>
          </w:tcPr>
          <w:p w14:paraId="7B57152B" w14:textId="77777777" w:rsidR="00945751" w:rsidRDefault="00945751" w:rsidP="00395D8E">
            <w:pPr>
              <w:rPr>
                <w:i/>
              </w:rPr>
            </w:pPr>
            <w:r>
              <w:rPr>
                <w:i/>
              </w:rPr>
              <w:t>Data</w:t>
            </w:r>
          </w:p>
        </w:tc>
        <w:tc>
          <w:tcPr>
            <w:tcW w:w="1382" w:type="dxa"/>
          </w:tcPr>
          <w:p w14:paraId="56D40184" w14:textId="24C5202A" w:rsidR="00945751" w:rsidRDefault="00945751" w:rsidP="00395D8E">
            <w:pPr>
              <w:rPr>
                <w:i/>
              </w:rPr>
            </w:pPr>
            <w:r>
              <w:rPr>
                <w:i/>
              </w:rPr>
              <w:t>Text corpora</w:t>
            </w:r>
          </w:p>
        </w:tc>
        <w:tc>
          <w:tcPr>
            <w:tcW w:w="1383" w:type="dxa"/>
          </w:tcPr>
          <w:p w14:paraId="1E4AF833" w14:textId="5FCC03EC" w:rsidR="00945751" w:rsidRDefault="00945751" w:rsidP="00395D8E">
            <w:pPr>
              <w:rPr>
                <w:i/>
              </w:rPr>
            </w:pPr>
            <w:r>
              <w:rPr>
                <w:i/>
              </w:rPr>
              <w:t>Requires federated login</w:t>
            </w:r>
          </w:p>
        </w:tc>
      </w:tr>
      <w:tr w:rsidR="00945751" w14:paraId="36242CF3" w14:textId="77777777" w:rsidTr="00945751">
        <w:tc>
          <w:tcPr>
            <w:tcW w:w="1382" w:type="dxa"/>
          </w:tcPr>
          <w:p w14:paraId="7ADD8BEF" w14:textId="77777777" w:rsidR="00945751" w:rsidRDefault="00945751" w:rsidP="00395D8E">
            <w:pPr>
              <w:rPr>
                <w:i/>
              </w:rPr>
            </w:pPr>
          </w:p>
        </w:tc>
        <w:tc>
          <w:tcPr>
            <w:tcW w:w="1382" w:type="dxa"/>
          </w:tcPr>
          <w:p w14:paraId="204E37C1" w14:textId="560E7AC9" w:rsidR="00945751" w:rsidRDefault="00945751" w:rsidP="00395D8E">
            <w:pPr>
              <w:rPr>
                <w:i/>
              </w:rPr>
            </w:pPr>
            <w:r>
              <w:rPr>
                <w:i/>
              </w:rPr>
              <w:t>Text corpora</w:t>
            </w:r>
          </w:p>
        </w:tc>
        <w:tc>
          <w:tcPr>
            <w:tcW w:w="1383" w:type="dxa"/>
          </w:tcPr>
          <w:p w14:paraId="73BD9830" w14:textId="541BB32B" w:rsidR="00945751" w:rsidRDefault="00945751" w:rsidP="00395D8E">
            <w:pPr>
              <w:rPr>
                <w:i/>
              </w:rPr>
            </w:pPr>
            <w:r>
              <w:rPr>
                <w:i/>
              </w:rPr>
              <w:t>Open</w:t>
            </w:r>
          </w:p>
        </w:tc>
      </w:tr>
      <w:tr w:rsidR="00945751" w14:paraId="784B3E0C" w14:textId="77777777" w:rsidTr="00945751">
        <w:tc>
          <w:tcPr>
            <w:tcW w:w="1382" w:type="dxa"/>
          </w:tcPr>
          <w:p w14:paraId="717A4CE5" w14:textId="77777777" w:rsidR="00945751" w:rsidRDefault="00945751" w:rsidP="00395D8E">
            <w:pPr>
              <w:rPr>
                <w:i/>
              </w:rPr>
            </w:pPr>
          </w:p>
        </w:tc>
        <w:tc>
          <w:tcPr>
            <w:tcW w:w="1382" w:type="dxa"/>
          </w:tcPr>
          <w:p w14:paraId="7BE4E167" w14:textId="4A088CFD" w:rsidR="00945751" w:rsidRDefault="00945751" w:rsidP="00395D8E">
            <w:pPr>
              <w:rPr>
                <w:i/>
              </w:rPr>
            </w:pPr>
            <w:r>
              <w:rPr>
                <w:i/>
              </w:rPr>
              <w:t>Text corpora</w:t>
            </w:r>
          </w:p>
        </w:tc>
        <w:tc>
          <w:tcPr>
            <w:tcW w:w="1383" w:type="dxa"/>
          </w:tcPr>
          <w:p w14:paraId="16A82222" w14:textId="7725D700" w:rsidR="00945751" w:rsidRDefault="00945751" w:rsidP="00395D8E">
            <w:pPr>
              <w:rPr>
                <w:i/>
              </w:rPr>
            </w:pPr>
            <w:r>
              <w:rPr>
                <w:i/>
              </w:rPr>
              <w:t>Requires federated login and approval by resource owner</w:t>
            </w:r>
          </w:p>
        </w:tc>
      </w:tr>
      <w:tr w:rsidR="00945751" w14:paraId="604A13C5" w14:textId="77777777" w:rsidTr="00945751">
        <w:tc>
          <w:tcPr>
            <w:tcW w:w="1382" w:type="dxa"/>
          </w:tcPr>
          <w:p w14:paraId="51B9EB2C" w14:textId="77777777" w:rsidR="00945751" w:rsidRDefault="00945751" w:rsidP="00395D8E">
            <w:pPr>
              <w:rPr>
                <w:i/>
              </w:rPr>
            </w:pPr>
            <w:r>
              <w:rPr>
                <w:i/>
              </w:rPr>
              <w:t>Services</w:t>
            </w:r>
          </w:p>
        </w:tc>
        <w:tc>
          <w:tcPr>
            <w:tcW w:w="1382" w:type="dxa"/>
          </w:tcPr>
          <w:p w14:paraId="647FCC7A" w14:textId="55111950" w:rsidR="00945751" w:rsidRDefault="00945751" w:rsidP="00395D8E">
            <w:pPr>
              <w:rPr>
                <w:i/>
              </w:rPr>
            </w:pPr>
            <w:r>
              <w:rPr>
                <w:i/>
              </w:rPr>
              <w:t>Treebank search engine</w:t>
            </w:r>
          </w:p>
        </w:tc>
        <w:tc>
          <w:tcPr>
            <w:tcW w:w="1383" w:type="dxa"/>
          </w:tcPr>
          <w:p w14:paraId="15D447D4" w14:textId="21C2F318" w:rsidR="00945751" w:rsidRDefault="00945751" w:rsidP="00395D8E">
            <w:pPr>
              <w:rPr>
                <w:i/>
              </w:rPr>
            </w:pPr>
            <w:r>
              <w:rPr>
                <w:i/>
              </w:rPr>
              <w:t>Open</w:t>
            </w:r>
          </w:p>
        </w:tc>
      </w:tr>
      <w:tr w:rsidR="00945751" w14:paraId="7E0A8433" w14:textId="77777777" w:rsidTr="00945751">
        <w:tc>
          <w:tcPr>
            <w:tcW w:w="1382" w:type="dxa"/>
          </w:tcPr>
          <w:p w14:paraId="14E553E5" w14:textId="77777777" w:rsidR="00945751" w:rsidRDefault="00945751" w:rsidP="00395D8E">
            <w:pPr>
              <w:rPr>
                <w:i/>
              </w:rPr>
            </w:pPr>
          </w:p>
        </w:tc>
        <w:tc>
          <w:tcPr>
            <w:tcW w:w="1382" w:type="dxa"/>
          </w:tcPr>
          <w:p w14:paraId="3CD03E2D" w14:textId="00883AB1" w:rsidR="00945751" w:rsidRDefault="00945751" w:rsidP="00395D8E">
            <w:pPr>
              <w:rPr>
                <w:i/>
              </w:rPr>
            </w:pPr>
            <w:r>
              <w:rPr>
                <w:i/>
              </w:rPr>
              <w:t>Speech Recognition web application</w:t>
            </w:r>
          </w:p>
        </w:tc>
        <w:tc>
          <w:tcPr>
            <w:tcW w:w="1383" w:type="dxa"/>
          </w:tcPr>
          <w:p w14:paraId="1BEE10DA" w14:textId="680427EB" w:rsidR="00945751" w:rsidRDefault="00945751" w:rsidP="00395D8E">
            <w:pPr>
              <w:rPr>
                <w:i/>
              </w:rPr>
            </w:pPr>
            <w:r>
              <w:rPr>
                <w:i/>
              </w:rPr>
              <w:t>Requires federated login</w:t>
            </w:r>
          </w:p>
        </w:tc>
      </w:tr>
    </w:tbl>
    <w:p w14:paraId="2CE15C1D" w14:textId="77777777" w:rsidR="00B77ECA" w:rsidRDefault="00B77ECA">
      <w:pPr>
        <w:rPr>
          <w:i/>
        </w:rPr>
      </w:pPr>
    </w:p>
    <w:p w14:paraId="087211D4" w14:textId="77777777" w:rsidR="00B77ECA" w:rsidRDefault="00B77ECA">
      <w:pPr>
        <w:rPr>
          <w:i/>
        </w:rPr>
      </w:pPr>
    </w:p>
    <w:p w14:paraId="75C5E775" w14:textId="0A1351C1" w:rsidR="00F94FD0" w:rsidRDefault="00203981" w:rsidP="00514DA2">
      <w:pPr>
        <w:pStyle w:val="Heading3"/>
      </w:pPr>
      <w:r>
        <w:lastRenderedPageBreak/>
        <w:t xml:space="preserve">2.f </w:t>
      </w:r>
      <w:r w:rsidR="00F94FD0">
        <w:t>Regist</w:t>
      </w:r>
      <w:r>
        <w:t>ration in the Centre Registry</w:t>
      </w:r>
    </w:p>
    <w:p w14:paraId="03987A23" w14:textId="7DEEE890" w:rsidR="00F94FD0" w:rsidRDefault="00203981">
      <w:pPr>
        <w:rPr>
          <w:i/>
        </w:rPr>
      </w:pPr>
      <w:r>
        <w:rPr>
          <w:b/>
          <w:color w:val="000000"/>
        </w:rPr>
        <w:t>Requirement:</w:t>
      </w:r>
      <w:r>
        <w:t xml:space="preserve">  Each</w:t>
      </w:r>
      <w:r w:rsidR="00F94FD0">
        <w:t xml:space="preserve"> centre should be registered in the Centre Registry.</w:t>
      </w:r>
    </w:p>
    <w:p w14:paraId="4739B5D5" w14:textId="77777777" w:rsidR="00203981" w:rsidRDefault="00203981">
      <w:pPr>
        <w:rPr>
          <w:b/>
          <w:color w:val="000000"/>
        </w:rPr>
      </w:pPr>
    </w:p>
    <w:p w14:paraId="18674738" w14:textId="53F1CF8F" w:rsidR="00FD64AC" w:rsidRDefault="00203981">
      <w:pPr>
        <w:rPr>
          <w:b/>
          <w:color w:val="000000"/>
        </w:rPr>
      </w:pPr>
      <w:r>
        <w:rPr>
          <w:b/>
          <w:color w:val="000000"/>
        </w:rPr>
        <w:t>Details:</w:t>
      </w:r>
    </w:p>
    <w:p w14:paraId="7EB4850D" w14:textId="6E613756" w:rsidR="00762CF1" w:rsidRDefault="00762CF1">
      <w:pPr>
        <w:rPr>
          <w:b/>
          <w:color w:val="000000"/>
        </w:rPr>
      </w:pPr>
    </w:p>
    <w:p w14:paraId="3FF93D45" w14:textId="77777777" w:rsidR="00762CF1" w:rsidRPr="00514DA2" w:rsidRDefault="00762CF1" w:rsidP="004533C7">
      <w:pPr>
        <w:pStyle w:val="ListParagraph"/>
        <w:numPr>
          <w:ilvl w:val="0"/>
          <w:numId w:val="15"/>
        </w:numPr>
        <w:rPr>
          <w:b/>
          <w:color w:val="000000"/>
        </w:rPr>
      </w:pPr>
      <w:r w:rsidRPr="00514DA2">
        <w:rPr>
          <w:color w:val="000000"/>
        </w:rPr>
        <w:t xml:space="preserve">Register a CLARIN account at </w:t>
      </w:r>
      <w:hyperlink r:id="rId13" w:history="1">
        <w:r w:rsidRPr="00E90551">
          <w:rPr>
            <w:rStyle w:val="Hyperlink"/>
          </w:rPr>
          <w:t>https://user.clarin.eu/user/register</w:t>
        </w:r>
      </w:hyperlink>
      <w:r>
        <w:rPr>
          <w:color w:val="000000"/>
        </w:rPr>
        <w:t xml:space="preserve"> </w:t>
      </w:r>
    </w:p>
    <w:p w14:paraId="57B05EED" w14:textId="77777777" w:rsidR="00762CF1" w:rsidRPr="00512BAE" w:rsidRDefault="00762CF1" w:rsidP="004533C7">
      <w:pPr>
        <w:pStyle w:val="ListParagraph"/>
        <w:numPr>
          <w:ilvl w:val="0"/>
          <w:numId w:val="15"/>
        </w:numPr>
        <w:rPr>
          <w:b/>
          <w:color w:val="000000"/>
        </w:rPr>
      </w:pPr>
      <w:r>
        <w:rPr>
          <w:color w:val="000000"/>
        </w:rPr>
        <w:t xml:space="preserve">Fill in the form at </w:t>
      </w:r>
      <w:hyperlink r:id="rId14" w:history="1">
        <w:r w:rsidRPr="00E90551">
          <w:rPr>
            <w:rStyle w:val="Hyperlink"/>
          </w:rPr>
          <w:t>https://www.clarin.eu/webform/registration-form-centre-registry</w:t>
        </w:r>
      </w:hyperlink>
      <w:r>
        <w:rPr>
          <w:color w:val="000000"/>
        </w:rPr>
        <w:t xml:space="preserve"> (requires login with your CLARIN account)</w:t>
      </w:r>
    </w:p>
    <w:p w14:paraId="2294C293" w14:textId="77777777" w:rsidR="00762CF1" w:rsidRDefault="00762CF1">
      <w:pPr>
        <w:rPr>
          <w:b/>
          <w:color w:val="000000"/>
        </w:rPr>
      </w:pPr>
    </w:p>
    <w:p w14:paraId="1E8C7E0C" w14:textId="140B77FC" w:rsidR="00203981" w:rsidRDefault="00203981">
      <w:pPr>
        <w:rPr>
          <w:b/>
          <w:color w:val="000000"/>
        </w:rPr>
      </w:pPr>
    </w:p>
    <w:p w14:paraId="1706CA4D" w14:textId="641B8F17" w:rsidR="00203981" w:rsidRDefault="00203981" w:rsidP="00514DA2">
      <w:pPr>
        <w:ind w:left="720"/>
        <w:rPr>
          <w:b/>
          <w:color w:val="000000"/>
        </w:rPr>
      </w:pPr>
      <w:r>
        <w:rPr>
          <w:b/>
          <w:color w:val="000000"/>
        </w:rPr>
        <w:t>Why?</w:t>
      </w:r>
    </w:p>
    <w:p w14:paraId="168868E6" w14:textId="64F71E8D" w:rsidR="002944D1" w:rsidRDefault="00203981" w:rsidP="002944D1">
      <w:pPr>
        <w:ind w:left="720"/>
        <w:rPr>
          <w:color w:val="000000"/>
        </w:rPr>
      </w:pPr>
      <w:r w:rsidRPr="00514DA2">
        <w:rPr>
          <w:color w:val="000000"/>
        </w:rPr>
        <w:t xml:space="preserve">The </w:t>
      </w:r>
      <w:hyperlink r:id="rId15" w:history="1">
        <w:r w:rsidR="002944D1" w:rsidRPr="002944D1">
          <w:rPr>
            <w:rStyle w:val="Hyperlink"/>
          </w:rPr>
          <w:t>C</w:t>
        </w:r>
        <w:r w:rsidRPr="002944D1">
          <w:rPr>
            <w:rStyle w:val="Hyperlink"/>
          </w:rPr>
          <w:t xml:space="preserve">entre </w:t>
        </w:r>
        <w:r w:rsidR="002944D1" w:rsidRPr="002944D1">
          <w:rPr>
            <w:rStyle w:val="Hyperlink"/>
          </w:rPr>
          <w:t>R</w:t>
        </w:r>
        <w:r w:rsidRPr="002944D1">
          <w:rPr>
            <w:rStyle w:val="Hyperlink"/>
          </w:rPr>
          <w:t>egistry</w:t>
        </w:r>
      </w:hyperlink>
      <w:r>
        <w:rPr>
          <w:color w:val="000000"/>
        </w:rPr>
        <w:t xml:space="preserve"> provides a uniform data store for all information about CLARIN centres</w:t>
      </w:r>
      <w:r w:rsidR="002944D1">
        <w:rPr>
          <w:color w:val="000000"/>
        </w:rPr>
        <w:t xml:space="preserve">. The data in the centre registry can be </w:t>
      </w:r>
      <w:r w:rsidR="00481BA3">
        <w:rPr>
          <w:color w:val="000000"/>
        </w:rPr>
        <w:t xml:space="preserve">openly </w:t>
      </w:r>
      <w:r w:rsidR="002944D1">
        <w:rPr>
          <w:color w:val="000000"/>
        </w:rPr>
        <w:t>accessed via a web interface (for human consumption) or via a REST-API (for programmatic access). Several other infrastructure components (monitoring, the Virtual Language Observatory, Federated Content Search) use the API for retrieving (meta)data from the centres.</w:t>
      </w:r>
    </w:p>
    <w:p w14:paraId="4003F769" w14:textId="73374824" w:rsidR="002944D1" w:rsidRDefault="002944D1" w:rsidP="002944D1">
      <w:pPr>
        <w:ind w:left="720"/>
        <w:rPr>
          <w:color w:val="000000"/>
        </w:rPr>
      </w:pPr>
    </w:p>
    <w:p w14:paraId="2AD7747B" w14:textId="34600808" w:rsidR="002944D1" w:rsidRDefault="002944D1" w:rsidP="002944D1">
      <w:pPr>
        <w:ind w:left="720"/>
        <w:rPr>
          <w:color w:val="000000"/>
        </w:rPr>
      </w:pPr>
      <w:r>
        <w:rPr>
          <w:color w:val="000000"/>
        </w:rPr>
        <w:t xml:space="preserve">On top of this, the Centre Registry information is automatically transmitted to re3data.org – a registry of research repositories. </w:t>
      </w:r>
    </w:p>
    <w:p w14:paraId="6320EB3A" w14:textId="00ED057D" w:rsidR="002944D1" w:rsidRDefault="002944D1" w:rsidP="002944D1">
      <w:pPr>
        <w:ind w:left="720"/>
        <w:rPr>
          <w:color w:val="000000"/>
        </w:rPr>
      </w:pPr>
    </w:p>
    <w:p w14:paraId="1FF831BA" w14:textId="6A87E0EC" w:rsidR="002944D1" w:rsidRPr="00514DA2" w:rsidRDefault="002944D1" w:rsidP="00514DA2">
      <w:pPr>
        <w:ind w:left="720"/>
        <w:rPr>
          <w:color w:val="000000"/>
        </w:rPr>
      </w:pPr>
      <w:r>
        <w:rPr>
          <w:color w:val="000000"/>
        </w:rPr>
        <w:t>All in all, registration in the Centre Registry ensures improved Findability, Accessibility, Interoperability and Reusability</w:t>
      </w:r>
    </w:p>
    <w:p w14:paraId="185049CE" w14:textId="77777777" w:rsidR="00512BAE" w:rsidRDefault="00512BAE">
      <w:pPr>
        <w:rPr>
          <w:b/>
        </w:rPr>
      </w:pPr>
    </w:p>
    <w:p w14:paraId="1AC06FE4" w14:textId="5D67F7E7" w:rsidR="00203981" w:rsidRDefault="00203981">
      <w:r>
        <w:rPr>
          <w:b/>
        </w:rPr>
        <w:t>Check procedure:</w:t>
      </w:r>
      <w:r w:rsidR="00512BAE">
        <w:rPr>
          <w:b/>
        </w:rPr>
        <w:t xml:space="preserve"> </w:t>
      </w:r>
      <w:r w:rsidR="00512BAE" w:rsidRPr="00514DA2">
        <w:t xml:space="preserve">Check </w:t>
      </w:r>
      <w:r w:rsidR="00512BAE">
        <w:t>the provided URL from the Centre Registry</w:t>
      </w:r>
    </w:p>
    <w:p w14:paraId="4D3738FB" w14:textId="77777777" w:rsidR="00512BAE" w:rsidRPr="00514DA2" w:rsidRDefault="00512BAE"/>
    <w:p w14:paraId="7A3DC5BB" w14:textId="77777777" w:rsidR="00512BAE" w:rsidRDefault="00203981">
      <w:r>
        <w:rPr>
          <w:b/>
        </w:rPr>
        <w:t>Centre statement:</w:t>
      </w:r>
      <w:r w:rsidR="00512BAE" w:rsidRPr="00514DA2">
        <w:t xml:space="preserve"> </w:t>
      </w:r>
    </w:p>
    <w:p w14:paraId="5384F5DC" w14:textId="3563BAB6" w:rsidR="00203981" w:rsidRDefault="00512BAE">
      <w:r>
        <w:t>(</w:t>
      </w:r>
      <w:r w:rsidRPr="00514DA2">
        <w:t xml:space="preserve">Provide the </w:t>
      </w:r>
      <w:r w:rsidRPr="0058576D">
        <w:t>https://centres.clarin.eu/centre/[id</w:t>
      </w:r>
      <w:r>
        <w:t xml:space="preserve">] </w:t>
      </w:r>
      <w:r w:rsidRPr="00514DA2">
        <w:t>Centre Registry URL for your centre</w:t>
      </w:r>
      <w:r>
        <w:t>)</w:t>
      </w:r>
    </w:p>
    <w:p w14:paraId="7C863FDD" w14:textId="77777777" w:rsidR="00203981" w:rsidRDefault="00203981"/>
    <w:p w14:paraId="4D23EBE3" w14:textId="77777777" w:rsidR="00FD64AC" w:rsidRDefault="00D03A06">
      <w:pPr>
        <w:pStyle w:val="Heading2"/>
        <w:numPr>
          <w:ilvl w:val="0"/>
          <w:numId w:val="4"/>
        </w:numPr>
      </w:pPr>
      <w:r>
        <w:t>Intellectual Property Rights and Privacy</w:t>
      </w:r>
    </w:p>
    <w:p w14:paraId="761D344F" w14:textId="515CC5E3" w:rsidR="00FD64AC" w:rsidRDefault="00B50ACB">
      <w:pPr>
        <w:pStyle w:val="Heading3"/>
      </w:pPr>
      <w:r>
        <w:t>3</w:t>
      </w:r>
      <w:r w:rsidR="00D03A06">
        <w:t>.a Data offering &amp; IPR</w:t>
      </w:r>
      <w:r w:rsidR="008F1D4B">
        <w:t xml:space="preserve"> (unchanged)</w:t>
      </w:r>
    </w:p>
    <w:p w14:paraId="596CBA87" w14:textId="62488B2E" w:rsidR="00FD64AC" w:rsidRDefault="00D03A06">
      <w:r>
        <w:rPr>
          <w:b/>
          <w:color w:val="000000"/>
        </w:rPr>
        <w:t xml:space="preserve">Requirement: </w:t>
      </w:r>
      <w:r>
        <w:t xml:space="preserve">Each centre needs to make clear statements about their policy of offering data and services and their treatment of IPR issues. </w:t>
      </w:r>
      <w:r w:rsidR="003F52FC">
        <w:t>The centre should offer data access/sharing for users from other CLARIN ERIC countries.</w:t>
      </w:r>
    </w:p>
    <w:p w14:paraId="3B3CA263" w14:textId="77777777" w:rsidR="00FD64AC" w:rsidRDefault="00FD64AC">
      <w:pPr>
        <w:rPr>
          <w:b/>
          <w:color w:val="000000"/>
        </w:rPr>
      </w:pPr>
    </w:p>
    <w:p w14:paraId="202E8589" w14:textId="5992A39C" w:rsidR="00FD64AC" w:rsidRDefault="00D03A06">
      <w:r>
        <w:rPr>
          <w:b/>
          <w:color w:val="000000"/>
        </w:rPr>
        <w:t xml:space="preserve">Details: </w:t>
      </w:r>
      <w:r>
        <w:t>The centre has to give a short description (preferably on its website) of its policy of offering data and services and the treatment of IPR issues</w:t>
      </w:r>
      <w:r>
        <w:rPr>
          <w:rStyle w:val="FootnoteAnchor"/>
        </w:rPr>
        <w:footnoteReference w:id="5"/>
      </w:r>
      <w:r>
        <w:t xml:space="preserve"> including a description of how licenses </w:t>
      </w:r>
      <w:r w:rsidR="0091247D">
        <w:t xml:space="preserve">are </w:t>
      </w:r>
      <w:r>
        <w:t>presented to users</w:t>
      </w:r>
      <w:r w:rsidR="00CE2375">
        <w:t xml:space="preserve">. </w:t>
      </w:r>
      <w:r w:rsidR="00481BA3">
        <w:t xml:space="preserve">Note that this description could be the same as the one provided for the </w:t>
      </w:r>
      <w:proofErr w:type="spellStart"/>
      <w:r w:rsidR="00481BA3">
        <w:t>CoreTrustSeal</w:t>
      </w:r>
      <w:proofErr w:type="spellEnd"/>
      <w:r w:rsidR="00481BA3">
        <w:t xml:space="preserve"> R2. </w:t>
      </w:r>
    </w:p>
    <w:p w14:paraId="6446DA2F" w14:textId="0D2D3710" w:rsidR="004B224C" w:rsidRDefault="004B224C"/>
    <w:p w14:paraId="75D8A0E6" w14:textId="624CF1D8" w:rsidR="004B224C" w:rsidRDefault="004B224C" w:rsidP="004B224C">
      <w:pPr>
        <w:ind w:left="720"/>
        <w:rPr>
          <w:b/>
          <w:color w:val="000000"/>
        </w:rPr>
      </w:pPr>
      <w:r>
        <w:rPr>
          <w:b/>
          <w:color w:val="000000"/>
        </w:rPr>
        <w:t>Why?</w:t>
      </w:r>
    </w:p>
    <w:p w14:paraId="3CE6E381" w14:textId="0DE95FBD" w:rsidR="004B224C" w:rsidRPr="00514DA2" w:rsidRDefault="004B224C" w:rsidP="004B224C">
      <w:pPr>
        <w:ind w:left="720"/>
        <w:rPr>
          <w:color w:val="000000"/>
        </w:rPr>
      </w:pPr>
      <w:r w:rsidRPr="00514DA2">
        <w:rPr>
          <w:color w:val="000000"/>
        </w:rPr>
        <w:t>F</w:t>
      </w:r>
      <w:r>
        <w:rPr>
          <w:color w:val="000000"/>
        </w:rPr>
        <w:t xml:space="preserve">AIR Re-Usability requires a clear and accessible license information. </w:t>
      </w:r>
    </w:p>
    <w:p w14:paraId="1AA60934" w14:textId="77777777" w:rsidR="004B224C" w:rsidRDefault="004B224C"/>
    <w:p w14:paraId="33C59CE1" w14:textId="77777777" w:rsidR="00FD64AC" w:rsidRDefault="00FD64AC"/>
    <w:p w14:paraId="3F2041D9" w14:textId="77777777" w:rsidR="00FD64AC" w:rsidRDefault="00D03A06">
      <w:bookmarkStart w:id="10" w:name="move431386011"/>
      <w:bookmarkEnd w:id="10"/>
      <w:r>
        <w:rPr>
          <w:b/>
        </w:rPr>
        <w:t xml:space="preserve">Check procedure: </w:t>
      </w:r>
      <w:r>
        <w:t xml:space="preserve">Check that the centre gives a clear statement about its data offering policy and about the IPR issues regarding data sharing. </w:t>
      </w:r>
    </w:p>
    <w:p w14:paraId="538B0111" w14:textId="77777777" w:rsidR="00FD64AC" w:rsidRDefault="00FD64AC"/>
    <w:p w14:paraId="16B4BDD9" w14:textId="5D018670" w:rsidR="00CE2375" w:rsidRDefault="00D03A06">
      <w:bookmarkStart w:id="11" w:name="move43138790120"/>
      <w:bookmarkEnd w:id="11"/>
      <w:r>
        <w:t>Check that the centre states it is offering data for users from CLARIN ERIC countries - either via login using the CLARIN Id</w:t>
      </w:r>
      <w:r w:rsidR="00EA5C4B">
        <w:t xml:space="preserve">entity </w:t>
      </w:r>
      <w:r>
        <w:t>P</w:t>
      </w:r>
      <w:r w:rsidR="00EA5C4B">
        <w:t>rovider</w:t>
      </w:r>
      <w:r>
        <w:t xml:space="preserve"> or national </w:t>
      </w:r>
      <w:r w:rsidR="00EA5C4B">
        <w:t>Identity Federations</w:t>
      </w:r>
      <w:r>
        <w:t xml:space="preserve">. </w:t>
      </w:r>
    </w:p>
    <w:p w14:paraId="2EE3EB0D" w14:textId="77777777" w:rsidR="00CE2375" w:rsidRDefault="00CE2375"/>
    <w:p w14:paraId="78BD148E" w14:textId="77777777" w:rsidR="00FD64AC" w:rsidRDefault="00D03A06">
      <w:r>
        <w:rPr>
          <w:b/>
        </w:rPr>
        <w:lastRenderedPageBreak/>
        <w:t>Centre statement:</w:t>
      </w:r>
    </w:p>
    <w:p w14:paraId="08CA8CB1" w14:textId="77777777" w:rsidR="00FD64AC" w:rsidRDefault="00D03A06">
      <w:pPr>
        <w:rPr>
          <w:i/>
        </w:rPr>
      </w:pPr>
      <w:bookmarkStart w:id="12" w:name="move43138601122"/>
      <w:bookmarkEnd w:id="12"/>
      <w:r>
        <w:rPr>
          <w:i/>
        </w:rPr>
        <w:t>(If the policy of offering data and treatment of IPR issues can be found on a webpage, then stating which page contains the information is sufficient, otherwise add description here.)</w:t>
      </w:r>
    </w:p>
    <w:p w14:paraId="5D841494" w14:textId="77777777" w:rsidR="00FD64AC" w:rsidRDefault="00FD64AC"/>
    <w:p w14:paraId="2F164709" w14:textId="6F206CC1" w:rsidR="00FD64AC" w:rsidRDefault="00B50ACB">
      <w:pPr>
        <w:pStyle w:val="Heading3"/>
      </w:pPr>
      <w:r>
        <w:t>3</w:t>
      </w:r>
      <w:r w:rsidR="00D03A06">
        <w:t>.b Privacy statement</w:t>
      </w:r>
      <w:r w:rsidR="008F1D4B">
        <w:t xml:space="preserve"> (unchanged)</w:t>
      </w:r>
    </w:p>
    <w:p w14:paraId="04AFF2E0" w14:textId="77777777" w:rsidR="00FD64AC" w:rsidRDefault="00FD64AC"/>
    <w:p w14:paraId="6D051D3D" w14:textId="5C9E5240" w:rsidR="00FD64AC" w:rsidRDefault="00D03A06">
      <w:r>
        <w:rPr>
          <w:b/>
          <w:color w:val="000000"/>
        </w:rPr>
        <w:t xml:space="preserve">Requirement: </w:t>
      </w:r>
      <w:r>
        <w:t>The centre has to implement the GÉANT Data Protection Code of Conduct (DP-</w:t>
      </w:r>
      <w:proofErr w:type="spellStart"/>
      <w:r>
        <w:t>CoC</w:t>
      </w:r>
      <w:proofErr w:type="spellEnd"/>
      <w:r>
        <w:t>) for each of its federated Service Providers.</w:t>
      </w:r>
    </w:p>
    <w:p w14:paraId="783FB141" w14:textId="77777777" w:rsidR="00FD64AC" w:rsidRDefault="00FD64AC">
      <w:pPr>
        <w:rPr>
          <w:b/>
          <w:color w:val="000000"/>
        </w:rPr>
      </w:pPr>
    </w:p>
    <w:p w14:paraId="3E8013CF" w14:textId="16C4E7D8" w:rsidR="00FD64AC" w:rsidRDefault="00D03A06">
      <w:r>
        <w:rPr>
          <w:b/>
          <w:color w:val="000000"/>
        </w:rPr>
        <w:t xml:space="preserve">Details: </w:t>
      </w:r>
      <w:r>
        <w:t>The centre has to provide a URL to a webpage where its privacy policy is described</w:t>
      </w:r>
      <w:r>
        <w:rPr>
          <w:rStyle w:val="FootnoteAnchor"/>
        </w:rPr>
        <w:footnoteReference w:id="6"/>
      </w:r>
      <w:r>
        <w:t>. It must also add this in a machine-readable way to its SAML metadata</w:t>
      </w:r>
      <w:r>
        <w:rPr>
          <w:rStyle w:val="FootnoteAnchor"/>
        </w:rPr>
        <w:footnoteReference w:id="7"/>
      </w:r>
    </w:p>
    <w:p w14:paraId="1AFEF71A" w14:textId="425A6BAC" w:rsidR="004B224C" w:rsidRDefault="004B224C"/>
    <w:p w14:paraId="76907E11" w14:textId="46B022EF" w:rsidR="004B224C" w:rsidRDefault="004B224C" w:rsidP="004B224C">
      <w:pPr>
        <w:ind w:left="720"/>
        <w:rPr>
          <w:b/>
          <w:color w:val="000000"/>
        </w:rPr>
      </w:pPr>
      <w:r>
        <w:rPr>
          <w:b/>
          <w:color w:val="000000"/>
        </w:rPr>
        <w:t>Why?</w:t>
      </w:r>
    </w:p>
    <w:p w14:paraId="21E18D69" w14:textId="489E0342" w:rsidR="004B224C" w:rsidRPr="00514DA2" w:rsidRDefault="004B224C" w:rsidP="00514DA2">
      <w:pPr>
        <w:ind w:left="720"/>
        <w:rPr>
          <w:color w:val="000000"/>
        </w:rPr>
      </w:pPr>
      <w:r w:rsidRPr="00514DA2">
        <w:rPr>
          <w:color w:val="000000"/>
        </w:rPr>
        <w:t xml:space="preserve">Adherence to </w:t>
      </w:r>
      <w:r>
        <w:rPr>
          <w:color w:val="000000"/>
        </w:rPr>
        <w:t>privacy best practices leads to higher trust from Identity Providers and thus improved access for researchers (enabling smoother opt-in and attribute release).</w:t>
      </w:r>
    </w:p>
    <w:p w14:paraId="04848F7E" w14:textId="77777777" w:rsidR="004B224C" w:rsidRDefault="004B224C"/>
    <w:p w14:paraId="5284B627" w14:textId="77777777" w:rsidR="00FD64AC" w:rsidRDefault="00FD64AC">
      <w:pPr>
        <w:rPr>
          <w:b/>
        </w:rPr>
      </w:pPr>
    </w:p>
    <w:p w14:paraId="484CDAB9" w14:textId="77777777" w:rsidR="00FD64AC" w:rsidRDefault="00D03A06">
      <w:r>
        <w:rPr>
          <w:b/>
        </w:rPr>
        <w:t xml:space="preserve">Check procedure: </w:t>
      </w:r>
      <w:r>
        <w:t xml:space="preserve">Inspect the provided Privacy Policy URL(s). If the SPs have also joined eduGAIN, compliance can be easily tested via </w:t>
      </w:r>
      <w:hyperlink r:id="rId16">
        <w:r>
          <w:rPr>
            <w:rStyle w:val="InternetLink"/>
          </w:rPr>
          <w:t>http://monitor.edugain.org/</w:t>
        </w:r>
      </w:hyperlink>
      <w:r>
        <w:t xml:space="preserve"> , otherwise the AAI taskforce will check the SAML metadata manually (contact the taskforce via </w:t>
      </w:r>
      <w:hyperlink r:id="rId17"/>
      <w:r>
        <w:t xml:space="preserve">tf-aai@lists.clarin.eu) </w:t>
      </w:r>
    </w:p>
    <w:p w14:paraId="476FBBE8" w14:textId="77777777" w:rsidR="00FD64AC" w:rsidRDefault="00FD64AC"/>
    <w:p w14:paraId="24887ED0" w14:textId="77777777" w:rsidR="007072AB" w:rsidRDefault="00D03A06">
      <w:pPr>
        <w:rPr>
          <w:b/>
        </w:rPr>
      </w:pPr>
      <w:r>
        <w:rPr>
          <w:b/>
        </w:rPr>
        <w:t xml:space="preserve">Centre statement: </w:t>
      </w:r>
    </w:p>
    <w:p w14:paraId="2375A8A3" w14:textId="77777777" w:rsidR="00FD64AC" w:rsidRDefault="00D03A06">
      <w:pPr>
        <w:rPr>
          <w:i/>
        </w:rPr>
      </w:pPr>
      <w:r>
        <w:rPr>
          <w:i/>
        </w:rPr>
        <w:t>(Add URL here)</w:t>
      </w:r>
    </w:p>
    <w:p w14:paraId="73D33C18" w14:textId="77777777" w:rsidR="00FD64AC" w:rsidRDefault="00FD64AC"/>
    <w:p w14:paraId="5CA2F485" w14:textId="7B2C509D" w:rsidR="00B50ACB" w:rsidRDefault="00B50ACB" w:rsidP="00B50ACB">
      <w:pPr>
        <w:pStyle w:val="Heading3"/>
      </w:pPr>
      <w:r>
        <w:t>3.c Licenses on data and metadata</w:t>
      </w:r>
      <w:r w:rsidR="008F1D4B">
        <w:t xml:space="preserve"> (</w:t>
      </w:r>
      <w:r w:rsidR="002F347F">
        <w:t>new item</w:t>
      </w:r>
      <w:r w:rsidR="008F1D4B">
        <w:t>)</w:t>
      </w:r>
    </w:p>
    <w:p w14:paraId="728B88A0" w14:textId="77777777" w:rsidR="00B50ACB" w:rsidRDefault="00B50ACB" w:rsidP="00B50ACB"/>
    <w:p w14:paraId="6E055B0F" w14:textId="77C3E60E" w:rsidR="00B50ACB" w:rsidRDefault="00B50ACB" w:rsidP="00B50ACB">
      <w:r>
        <w:rPr>
          <w:b/>
          <w:color w:val="000000"/>
        </w:rPr>
        <w:t xml:space="preserve">Requirement: </w:t>
      </w:r>
      <w:r w:rsidRPr="00B50ACB">
        <w:rPr>
          <w:color w:val="000000"/>
        </w:rPr>
        <w:t>D</w:t>
      </w:r>
      <w:r>
        <w:t>ata and metadata are licensed.</w:t>
      </w:r>
    </w:p>
    <w:p w14:paraId="5E832EE1" w14:textId="77777777" w:rsidR="00B50ACB" w:rsidRDefault="00B50ACB" w:rsidP="00B50ACB">
      <w:pPr>
        <w:rPr>
          <w:b/>
          <w:color w:val="000000"/>
        </w:rPr>
      </w:pPr>
    </w:p>
    <w:p w14:paraId="69AA653F" w14:textId="57DA0884" w:rsidR="00B50ACB" w:rsidRDefault="00B50ACB" w:rsidP="00B50ACB">
      <w:r>
        <w:rPr>
          <w:b/>
          <w:color w:val="000000"/>
        </w:rPr>
        <w:t xml:space="preserve">Details: </w:t>
      </w:r>
      <w:r>
        <w:t xml:space="preserve">The centre has to provide a URL to a webpage where its </w:t>
      </w:r>
      <w:r w:rsidR="004A053A">
        <w:t>information</w:t>
      </w:r>
      <w:r>
        <w:t xml:space="preserve"> about licenses is described</w:t>
      </w:r>
      <w:r w:rsidR="00E55D62">
        <w:t>, enabling users of the repository to get information on how data and metadata are licensed</w:t>
      </w:r>
      <w:r>
        <w:t xml:space="preserve">. </w:t>
      </w:r>
    </w:p>
    <w:p w14:paraId="48FB1739" w14:textId="77777777" w:rsidR="00B50ACB" w:rsidRDefault="00B50ACB" w:rsidP="00B50ACB">
      <w:pPr>
        <w:rPr>
          <w:b/>
        </w:rPr>
      </w:pPr>
    </w:p>
    <w:p w14:paraId="330A0563" w14:textId="50D252BB" w:rsidR="00FD64AC" w:rsidRDefault="00B50ACB" w:rsidP="00B50ACB">
      <w:r>
        <w:rPr>
          <w:b/>
        </w:rPr>
        <w:t xml:space="preserve">Check procedure: </w:t>
      </w:r>
      <w:r>
        <w:t xml:space="preserve">Inspect the provided </w:t>
      </w:r>
      <w:r w:rsidR="004A053A">
        <w:t>license</w:t>
      </w:r>
      <w:r>
        <w:t xml:space="preserve"> URL(s). </w:t>
      </w:r>
    </w:p>
    <w:p w14:paraId="2FBCBD1B" w14:textId="2309FACE" w:rsidR="00481BA3" w:rsidRDefault="00481BA3" w:rsidP="00B50ACB"/>
    <w:p w14:paraId="50E77D43" w14:textId="6DD3456B" w:rsidR="00481BA3" w:rsidRPr="00E47085" w:rsidRDefault="00481BA3" w:rsidP="00E47085">
      <w:r w:rsidRPr="00E47085">
        <w:t>[Note: at the moment, licensing for metadata is discussed by the legal issues committee. Awaiting the outcomes of this process, it is optional to provide a license for metadata]</w:t>
      </w:r>
    </w:p>
    <w:p w14:paraId="227D64EF" w14:textId="05E680A4" w:rsidR="00FD64AC" w:rsidRDefault="00D03A06">
      <w:pPr>
        <w:pStyle w:val="Heading2"/>
        <w:numPr>
          <w:ilvl w:val="0"/>
          <w:numId w:val="4"/>
        </w:numPr>
      </w:pPr>
      <w:r>
        <w:t>Server Certificates</w:t>
      </w:r>
      <w:r w:rsidR="008F1D4B">
        <w:t xml:space="preserve"> (unchanged)</w:t>
      </w:r>
    </w:p>
    <w:p w14:paraId="3F95E09E" w14:textId="77777777" w:rsidR="00FD64AC" w:rsidRDefault="00FD64AC">
      <w:pPr>
        <w:jc w:val="both"/>
        <w:rPr>
          <w:color w:val="000000"/>
        </w:rPr>
      </w:pPr>
    </w:p>
    <w:p w14:paraId="73D6E549" w14:textId="77777777" w:rsidR="00FD64AC" w:rsidRDefault="00D03A06">
      <w:pPr>
        <w:jc w:val="both"/>
        <w:rPr>
          <w:color w:val="000000"/>
        </w:rPr>
      </w:pPr>
      <w:r>
        <w:rPr>
          <w:b/>
          <w:color w:val="000000"/>
        </w:rPr>
        <w:t>Requirement:</w:t>
      </w:r>
      <w:r>
        <w:rPr>
          <w:color w:val="000000"/>
        </w:rPr>
        <w:t xml:space="preserve"> Centres need to adhere to the security guidelines, i.e. the servers need to have accepted certificates.</w:t>
      </w:r>
    </w:p>
    <w:p w14:paraId="16272433" w14:textId="77777777" w:rsidR="00FD64AC" w:rsidRDefault="00FD64AC">
      <w:pPr>
        <w:pStyle w:val="ListParagraph"/>
        <w:ind w:left="360"/>
        <w:jc w:val="both"/>
        <w:rPr>
          <w:color w:val="000000"/>
          <w:lang w:val="en-GB"/>
        </w:rPr>
      </w:pPr>
    </w:p>
    <w:p w14:paraId="0569C804" w14:textId="1E8F655C" w:rsidR="0092684A" w:rsidRPr="0092684A" w:rsidRDefault="00D03A06" w:rsidP="0092684A">
      <w:pPr>
        <w:jc w:val="both"/>
        <w:rPr>
          <w:color w:val="000000"/>
        </w:rPr>
      </w:pPr>
      <w:r>
        <w:rPr>
          <w:b/>
          <w:color w:val="000000"/>
        </w:rPr>
        <w:t>Detail:</w:t>
      </w:r>
      <w:r>
        <w:rPr>
          <w:color w:val="000000"/>
        </w:rPr>
        <w:t xml:space="preserve"> The SSL-certificates of the web servers at a centre should </w:t>
      </w:r>
      <w:r>
        <w:rPr>
          <w:b/>
          <w:color w:val="000000"/>
        </w:rPr>
        <w:t>not be self-signed</w:t>
      </w:r>
      <w:r>
        <w:rPr>
          <w:color w:val="000000"/>
        </w:rPr>
        <w:t xml:space="preserve"> but have to provide a full trust-chain up to one of the root certificates as accepted by Mozilla Firefox</w:t>
      </w:r>
      <w:r>
        <w:rPr>
          <w:rStyle w:val="FootnoteAnchor"/>
          <w:color w:val="000000"/>
        </w:rPr>
        <w:footnoteReference w:id="8"/>
      </w:r>
      <w:r>
        <w:rPr>
          <w:color w:val="000000"/>
        </w:rPr>
        <w:t>.</w:t>
      </w:r>
      <w:r w:rsidR="00381435">
        <w:rPr>
          <w:color w:val="000000"/>
        </w:rPr>
        <w:t xml:space="preserve"> </w:t>
      </w:r>
      <w:r w:rsidR="0092684A" w:rsidRPr="004533C7">
        <w:rPr>
          <w:bCs/>
          <w:color w:val="000000"/>
        </w:rPr>
        <w:t>U</w:t>
      </w:r>
      <w:r w:rsidR="0092684A" w:rsidRPr="0092684A">
        <w:rPr>
          <w:color w:val="000000"/>
        </w:rPr>
        <w:t xml:space="preserve">se the SSL labs test at </w:t>
      </w:r>
      <w:hyperlink r:id="rId18" w:history="1">
        <w:r w:rsidR="0092684A" w:rsidRPr="0092684A">
          <w:rPr>
            <w:rStyle w:val="Hyperlink"/>
          </w:rPr>
          <w:t>https://www.ssllabs.com/ssltest/</w:t>
        </w:r>
      </w:hyperlink>
      <w:r w:rsidR="0092684A" w:rsidRPr="0092684A">
        <w:rPr>
          <w:color w:val="000000"/>
        </w:rPr>
        <w:t xml:space="preserve"> to optimize your SSL configuration.</w:t>
      </w:r>
    </w:p>
    <w:p w14:paraId="2E3D263D" w14:textId="77777777" w:rsidR="00D173D6" w:rsidRDefault="00D173D6">
      <w:pPr>
        <w:jc w:val="both"/>
        <w:rPr>
          <w:color w:val="000000"/>
        </w:rPr>
      </w:pPr>
    </w:p>
    <w:p w14:paraId="12180ABB" w14:textId="77777777" w:rsidR="0092684A" w:rsidRDefault="0092684A" w:rsidP="0092684A">
      <w:pPr>
        <w:ind w:left="720"/>
        <w:jc w:val="both"/>
        <w:rPr>
          <w:b/>
          <w:color w:val="000000"/>
        </w:rPr>
      </w:pPr>
      <w:r>
        <w:rPr>
          <w:b/>
          <w:color w:val="000000"/>
        </w:rPr>
        <w:t>Why?</w:t>
      </w:r>
    </w:p>
    <w:p w14:paraId="3F606B4B" w14:textId="77777777" w:rsidR="0092684A" w:rsidRPr="00514DA2" w:rsidRDefault="0092684A" w:rsidP="0092684A">
      <w:pPr>
        <w:ind w:left="720"/>
        <w:jc w:val="both"/>
        <w:rPr>
          <w:color w:val="000000"/>
        </w:rPr>
      </w:pPr>
      <w:r>
        <w:rPr>
          <w:color w:val="000000"/>
        </w:rPr>
        <w:t>The</w:t>
      </w:r>
      <w:r w:rsidRPr="00514DA2">
        <w:rPr>
          <w:color w:val="000000"/>
        </w:rPr>
        <w:t xml:space="preserve"> HTTPS</w:t>
      </w:r>
      <w:r>
        <w:rPr>
          <w:color w:val="000000"/>
        </w:rPr>
        <w:t xml:space="preserve"> protocol ensures a higher degree of security and privacy. Safe web access should work out-of-the-box in all standard browsers.</w:t>
      </w:r>
    </w:p>
    <w:p w14:paraId="79A5CD70" w14:textId="68C7408A" w:rsidR="0092684A" w:rsidRDefault="0092684A">
      <w:pPr>
        <w:jc w:val="both"/>
        <w:rPr>
          <w:color w:val="000000"/>
        </w:rPr>
      </w:pPr>
    </w:p>
    <w:p w14:paraId="3F03DBE7" w14:textId="77777777" w:rsidR="0092684A" w:rsidRDefault="0092684A">
      <w:pPr>
        <w:jc w:val="both"/>
        <w:rPr>
          <w:color w:val="000000"/>
        </w:rPr>
      </w:pPr>
    </w:p>
    <w:p w14:paraId="3B9AC30E" w14:textId="77777777" w:rsidR="00FD64AC" w:rsidRDefault="00D03A06">
      <w:bookmarkStart w:id="13" w:name="move431385842"/>
      <w:bookmarkEnd w:id="13"/>
      <w:r>
        <w:rPr>
          <w:b/>
          <w:color w:val="000000"/>
        </w:rPr>
        <w:t xml:space="preserve">Check procedure: </w:t>
      </w:r>
      <w:r>
        <w:rPr>
          <w:color w:val="000000"/>
        </w:rPr>
        <w:t>Load an HTTPS URL at the centre. Check in your browser if the certificate is valid.</w:t>
      </w:r>
    </w:p>
    <w:p w14:paraId="3B39C8A7" w14:textId="77777777" w:rsidR="00FD64AC" w:rsidRDefault="00FD64AC">
      <w:pPr>
        <w:jc w:val="both"/>
        <w:rPr>
          <w:color w:val="000000"/>
        </w:rPr>
      </w:pPr>
    </w:p>
    <w:p w14:paraId="0C42C653" w14:textId="77777777" w:rsidR="00BC3638" w:rsidRDefault="00BC3638">
      <w:pPr>
        <w:jc w:val="both"/>
        <w:rPr>
          <w:color w:val="000000"/>
        </w:rPr>
      </w:pPr>
    </w:p>
    <w:p w14:paraId="32D37CF8" w14:textId="77777777" w:rsidR="00FD64AC" w:rsidRDefault="00D03A06">
      <w:pPr>
        <w:rPr>
          <w:b/>
        </w:rPr>
      </w:pPr>
      <w:r>
        <w:rPr>
          <w:b/>
        </w:rPr>
        <w:t>Centre statement:</w:t>
      </w:r>
    </w:p>
    <w:p w14:paraId="766E08D0" w14:textId="77777777" w:rsidR="00FD64AC" w:rsidRDefault="00D03A06">
      <w:pPr>
        <w:rPr>
          <w:i/>
        </w:rPr>
      </w:pPr>
      <w:bookmarkStart w:id="14" w:name="move43138584228"/>
      <w:bookmarkEnd w:id="14"/>
      <w:r>
        <w:rPr>
          <w:i/>
        </w:rPr>
        <w:t>(Add URL(s) to web servers)</w:t>
      </w:r>
    </w:p>
    <w:p w14:paraId="765501C7" w14:textId="77777777" w:rsidR="00FD64AC" w:rsidRDefault="00FD64AC">
      <w:pPr>
        <w:jc w:val="both"/>
        <w:rPr>
          <w:color w:val="000000"/>
        </w:rPr>
      </w:pPr>
    </w:p>
    <w:p w14:paraId="363236FD" w14:textId="65FAF4FB" w:rsidR="00FD64AC" w:rsidRDefault="00D03A06">
      <w:pPr>
        <w:pStyle w:val="Heading2"/>
        <w:numPr>
          <w:ilvl w:val="0"/>
          <w:numId w:val="4"/>
        </w:numPr>
      </w:pPr>
      <w:r>
        <w:t>Federated Identity Management</w:t>
      </w:r>
    </w:p>
    <w:p w14:paraId="3F745FF4" w14:textId="77777777" w:rsidR="00FD64AC" w:rsidRDefault="00FD64AC">
      <w:pPr>
        <w:jc w:val="both"/>
        <w:rPr>
          <w:b/>
          <w:color w:val="000000"/>
        </w:rPr>
      </w:pPr>
    </w:p>
    <w:p w14:paraId="5A97AD23" w14:textId="539342D1" w:rsidR="00E85641" w:rsidRDefault="00E85641" w:rsidP="00E85641">
      <w:pPr>
        <w:jc w:val="both"/>
        <w:rPr>
          <w:color w:val="000000"/>
        </w:rPr>
      </w:pPr>
      <w:r>
        <w:rPr>
          <w:color w:val="000000"/>
        </w:rPr>
        <w:t xml:space="preserve">[Note: if a centre only provides </w:t>
      </w:r>
      <w:r w:rsidR="00E7689C">
        <w:rPr>
          <w:color w:val="000000"/>
        </w:rPr>
        <w:t xml:space="preserve">and will provide </w:t>
      </w:r>
      <w:r>
        <w:rPr>
          <w:color w:val="000000"/>
        </w:rPr>
        <w:t>fully open resources, this requirement is not applicable]</w:t>
      </w:r>
    </w:p>
    <w:p w14:paraId="723E4987" w14:textId="77777777" w:rsidR="00E85641" w:rsidRDefault="00E85641">
      <w:pPr>
        <w:jc w:val="both"/>
        <w:rPr>
          <w:b/>
          <w:color w:val="000000"/>
        </w:rPr>
      </w:pPr>
    </w:p>
    <w:p w14:paraId="6E91D786" w14:textId="67952523" w:rsidR="00FD64AC" w:rsidRDefault="00D03A06">
      <w:pPr>
        <w:jc w:val="both"/>
        <w:rPr>
          <w:color w:val="000000"/>
        </w:rPr>
      </w:pPr>
      <w:r>
        <w:rPr>
          <w:b/>
          <w:color w:val="000000"/>
        </w:rPr>
        <w:t>Requirement:</w:t>
      </w:r>
      <w:r>
        <w:rPr>
          <w:color w:val="000000"/>
        </w:rPr>
        <w:t xml:space="preserve"> Centres need to join the national identity federation where available and join the CLARIN service provider federation to support single identity and single sign-on operation based on SAML2.0 and trust declarations.</w:t>
      </w:r>
    </w:p>
    <w:p w14:paraId="1E3ECF2A" w14:textId="6A9E4B35" w:rsidR="00E85641" w:rsidRDefault="00E85641">
      <w:pPr>
        <w:jc w:val="both"/>
        <w:rPr>
          <w:color w:val="000000"/>
        </w:rPr>
      </w:pPr>
    </w:p>
    <w:p w14:paraId="41E99F8F" w14:textId="77777777" w:rsidR="00FD64AC" w:rsidRDefault="00D03A06">
      <w:pPr>
        <w:jc w:val="both"/>
        <w:rPr>
          <w:color w:val="000000"/>
        </w:rPr>
      </w:pPr>
      <w:r>
        <w:rPr>
          <w:b/>
          <w:color w:val="000000"/>
        </w:rPr>
        <w:t xml:space="preserve">Details: </w:t>
      </w:r>
      <w:r>
        <w:rPr>
          <w:color w:val="000000"/>
        </w:rPr>
        <w:t>Several sub-requirements (in the most logical order):</w:t>
      </w:r>
    </w:p>
    <w:p w14:paraId="3A9B0B8A" w14:textId="0BE087BD" w:rsidR="00FD64AC" w:rsidRDefault="00D03A06">
      <w:pPr>
        <w:pStyle w:val="ListParagraph"/>
        <w:numPr>
          <w:ilvl w:val="0"/>
          <w:numId w:val="2"/>
        </w:numPr>
        <w:rPr>
          <w:color w:val="000000"/>
        </w:rPr>
      </w:pPr>
      <w:r>
        <w:rPr>
          <w:color w:val="000000"/>
        </w:rPr>
        <w:t>Setup a SAML 2 Service Provider</w:t>
      </w:r>
    </w:p>
    <w:p w14:paraId="3FC42092" w14:textId="7D34E411" w:rsidR="00426E69" w:rsidRDefault="00426E69">
      <w:pPr>
        <w:pStyle w:val="ListParagraph"/>
        <w:numPr>
          <w:ilvl w:val="0"/>
          <w:numId w:val="2"/>
        </w:numPr>
        <w:rPr>
          <w:color w:val="000000"/>
        </w:rPr>
      </w:pPr>
      <w:r>
        <w:rPr>
          <w:color w:val="000000"/>
        </w:rPr>
        <w:t xml:space="preserve">Optionally, you can connect to the CLARIN attribute aggregator as described at </w:t>
      </w:r>
      <w:hyperlink r:id="rId19" w:history="1">
        <w:r w:rsidRPr="00C55B89">
          <w:rPr>
            <w:rStyle w:val="Hyperlink"/>
          </w:rPr>
          <w:t>https://github.com/ufal/clarin-sp-aaggregator</w:t>
        </w:r>
      </w:hyperlink>
      <w:r>
        <w:rPr>
          <w:color w:val="000000"/>
        </w:rPr>
        <w:t xml:space="preserve"> </w:t>
      </w:r>
    </w:p>
    <w:p w14:paraId="691677C2" w14:textId="3C500439" w:rsidR="00FD64AC" w:rsidRDefault="006B4989">
      <w:pPr>
        <w:pStyle w:val="ListParagraph"/>
        <w:numPr>
          <w:ilvl w:val="0"/>
          <w:numId w:val="2"/>
        </w:numPr>
      </w:pPr>
      <w:r>
        <w:rPr>
          <w:color w:val="000000"/>
        </w:rPr>
        <w:t>Optionally, you can i</w:t>
      </w:r>
      <w:r w:rsidR="00D03A06">
        <w:rPr>
          <w:color w:val="000000"/>
        </w:rPr>
        <w:t xml:space="preserve">nstall the attribute debug script (shib_test.pl) at your Service Provider server: </w:t>
      </w:r>
      <w:hyperlink r:id="rId20">
        <w:r w:rsidR="004C6558">
          <w:rPr>
            <w:rStyle w:val="VisitedInternetLink"/>
          </w:rPr>
          <w:t>https://www.clarin.eu/page/3537</w:t>
        </w:r>
      </w:hyperlink>
      <w:r w:rsidR="00D03A06">
        <w:rPr>
          <w:color w:val="000000"/>
        </w:rPr>
        <w:t xml:space="preserve"> </w:t>
      </w:r>
    </w:p>
    <w:p w14:paraId="1DFD4A62" w14:textId="77777777" w:rsidR="00FD64AC" w:rsidRDefault="00D03A06">
      <w:pPr>
        <w:pStyle w:val="ListParagraph"/>
        <w:numPr>
          <w:ilvl w:val="0"/>
          <w:numId w:val="2"/>
        </w:numPr>
      </w:pPr>
      <w:r>
        <w:rPr>
          <w:color w:val="000000"/>
        </w:rPr>
        <w:t xml:space="preserve">Joining the national Identity Federation (when available – see </w:t>
      </w:r>
      <w:r>
        <w:t>https://refeds.org/federations</w:t>
      </w:r>
      <w:hyperlink r:id="rId21"/>
      <w:r>
        <w:rPr>
          <w:color w:val="000000"/>
        </w:rPr>
        <w:t xml:space="preserve">) </w:t>
      </w:r>
    </w:p>
    <w:p w14:paraId="191B6393" w14:textId="113A2CFD" w:rsidR="00FD64AC" w:rsidRDefault="00D03A06">
      <w:pPr>
        <w:pStyle w:val="ListParagraph"/>
        <w:numPr>
          <w:ilvl w:val="0"/>
          <w:numId w:val="2"/>
        </w:numPr>
      </w:pPr>
      <w:r>
        <w:rPr>
          <w:color w:val="000000"/>
        </w:rPr>
        <w:t xml:space="preserve">Allow users from the CLARIN </w:t>
      </w:r>
      <w:proofErr w:type="spellStart"/>
      <w:r>
        <w:rPr>
          <w:color w:val="000000"/>
        </w:rPr>
        <w:t>IdP</w:t>
      </w:r>
      <w:proofErr w:type="spellEnd"/>
      <w:r>
        <w:rPr>
          <w:color w:val="000000"/>
        </w:rPr>
        <w:t xml:space="preserve"> to login – see </w:t>
      </w:r>
      <w:hyperlink r:id="rId22">
        <w:bookmarkStart w:id="15" w:name="move431388752"/>
        <w:bookmarkEnd w:id="15"/>
        <w:r w:rsidR="004C6558">
          <w:rPr>
            <w:rStyle w:val="InternetLink"/>
          </w:rPr>
          <w:t>https://www.clarin.eu/page/3398</w:t>
        </w:r>
      </w:hyperlink>
    </w:p>
    <w:p w14:paraId="4AC7CD4D" w14:textId="4A4A7841" w:rsidR="00FD64AC" w:rsidRDefault="00D03A06">
      <w:pPr>
        <w:pStyle w:val="ListParagraph"/>
        <w:numPr>
          <w:ilvl w:val="0"/>
          <w:numId w:val="2"/>
        </w:numPr>
      </w:pPr>
      <w:r>
        <w:rPr>
          <w:color w:val="000000"/>
        </w:rPr>
        <w:t xml:space="preserve">Join the CLARIN Service Provider Federation – see </w:t>
      </w:r>
      <w:hyperlink r:id="rId23">
        <w:r w:rsidR="004C6558">
          <w:rPr>
            <w:rStyle w:val="InternetLink"/>
          </w:rPr>
          <w:t>https://www.clarin.eu/spf</w:t>
        </w:r>
      </w:hyperlink>
      <w:r>
        <w:rPr>
          <w:color w:val="000000"/>
        </w:rPr>
        <w:t xml:space="preserve"> </w:t>
      </w:r>
    </w:p>
    <w:p w14:paraId="3F7CB784" w14:textId="77777777" w:rsidR="00FD64AC" w:rsidRDefault="00D03A06">
      <w:pPr>
        <w:pStyle w:val="ListParagraph"/>
        <w:numPr>
          <w:ilvl w:val="0"/>
          <w:numId w:val="2"/>
        </w:numPr>
        <w:rPr>
          <w:color w:val="000000"/>
        </w:rPr>
      </w:pPr>
      <w:r>
        <w:rPr>
          <w:color w:val="000000"/>
        </w:rPr>
        <w:t>Allow users from at least one other country to login through their national identity provider</w:t>
      </w:r>
    </w:p>
    <w:p w14:paraId="2E992749" w14:textId="35CBD1A4" w:rsidR="00FD64AC" w:rsidRDefault="00D03A06">
      <w:pPr>
        <w:pStyle w:val="ListParagraph"/>
        <w:numPr>
          <w:ilvl w:val="0"/>
          <w:numId w:val="2"/>
        </w:numPr>
      </w:pPr>
      <w:r>
        <w:rPr>
          <w:color w:val="000000"/>
        </w:rPr>
        <w:t xml:space="preserve">Enable login through the other Identity Federations in the CLARIN Service Provider Federation or specify planning for enabling the other Identity </w:t>
      </w:r>
      <w:r w:rsidR="00250813">
        <w:rPr>
          <w:color w:val="000000"/>
        </w:rPr>
        <w:t>Federations –</w:t>
      </w:r>
      <w:r>
        <w:rPr>
          <w:color w:val="000000"/>
        </w:rPr>
        <w:t xml:space="preserve"> see </w:t>
      </w:r>
      <w:hyperlink r:id="rId24">
        <w:r w:rsidR="004C6558">
          <w:rPr>
            <w:rStyle w:val="InternetLink"/>
          </w:rPr>
          <w:t>https://www.clarin.eu/spf</w:t>
        </w:r>
      </w:hyperlink>
    </w:p>
    <w:p w14:paraId="4484D750" w14:textId="77777777" w:rsidR="00FD64AC" w:rsidRDefault="00FD64AC">
      <w:pPr>
        <w:jc w:val="both"/>
        <w:rPr>
          <w:color w:val="000000"/>
        </w:rPr>
      </w:pPr>
    </w:p>
    <w:p w14:paraId="3744EFF4" w14:textId="77777777" w:rsidR="00FD64AC" w:rsidRDefault="00D03A06">
      <w:pPr>
        <w:jc w:val="both"/>
        <w:rPr>
          <w:color w:val="000000"/>
        </w:rPr>
      </w:pPr>
      <w:bookmarkStart w:id="16" w:name="move431388588"/>
      <w:bookmarkEnd w:id="16"/>
      <w:r>
        <w:rPr>
          <w:b/>
          <w:color w:val="000000"/>
        </w:rPr>
        <w:t xml:space="preserve">Check procedure: </w:t>
      </w:r>
      <w:r>
        <w:rPr>
          <w:color w:val="000000"/>
        </w:rPr>
        <w:t xml:space="preserve">Check if the centre states that sub-requirements 1 to 7 listed above are fulfilled. </w:t>
      </w:r>
    </w:p>
    <w:p w14:paraId="6AB63FF3" w14:textId="77777777" w:rsidR="00FD64AC" w:rsidRDefault="00FD64AC">
      <w:pPr>
        <w:jc w:val="both"/>
        <w:rPr>
          <w:color w:val="000000"/>
        </w:rPr>
      </w:pPr>
    </w:p>
    <w:p w14:paraId="6CC04516" w14:textId="20C402B5" w:rsidR="00FD64AC" w:rsidRDefault="00D03A06">
      <w:pPr>
        <w:jc w:val="both"/>
        <w:rPr>
          <w:color w:val="000000"/>
        </w:rPr>
      </w:pPr>
      <w:r>
        <w:rPr>
          <w:color w:val="000000"/>
        </w:rPr>
        <w:t xml:space="preserve">Login to the SP from the CLARIN </w:t>
      </w:r>
      <w:proofErr w:type="spellStart"/>
      <w:r>
        <w:rPr>
          <w:color w:val="000000"/>
        </w:rPr>
        <w:t>IdP</w:t>
      </w:r>
      <w:proofErr w:type="spellEnd"/>
      <w:r>
        <w:rPr>
          <w:color w:val="000000"/>
        </w:rPr>
        <w:t>. Check with</w:t>
      </w:r>
      <w:r w:rsidR="00426E69">
        <w:rPr>
          <w:color w:val="000000"/>
        </w:rPr>
        <w:t xml:space="preserve"> the attribute aggregator</w:t>
      </w:r>
      <w:r w:rsidR="00426E69">
        <w:rPr>
          <w:rStyle w:val="FootnoteReference"/>
          <w:color w:val="000000"/>
        </w:rPr>
        <w:footnoteReference w:id="9"/>
      </w:r>
      <w:r w:rsidR="00426E69">
        <w:rPr>
          <w:color w:val="000000"/>
        </w:rPr>
        <w:t xml:space="preserve"> or </w:t>
      </w:r>
      <w:proofErr w:type="gramStart"/>
      <w:r w:rsidR="00426E69">
        <w:rPr>
          <w:color w:val="000000"/>
        </w:rPr>
        <w:t xml:space="preserve">the </w:t>
      </w:r>
      <w:r>
        <w:rPr>
          <w:color w:val="000000"/>
        </w:rPr>
        <w:t xml:space="preserve"> shib_test.pl</w:t>
      </w:r>
      <w:proofErr w:type="gramEnd"/>
      <w:r>
        <w:rPr>
          <w:color w:val="000000"/>
        </w:rPr>
        <w:t xml:space="preserve"> if the right attributes are available.</w:t>
      </w:r>
    </w:p>
    <w:p w14:paraId="272747D7" w14:textId="77777777" w:rsidR="00FD64AC" w:rsidRDefault="00FD64AC">
      <w:pPr>
        <w:jc w:val="both"/>
        <w:rPr>
          <w:color w:val="000000"/>
        </w:rPr>
      </w:pPr>
    </w:p>
    <w:p w14:paraId="28FBDDD8" w14:textId="77777777" w:rsidR="00FD64AC" w:rsidRDefault="00D03A06">
      <w:pPr>
        <w:jc w:val="both"/>
        <w:rPr>
          <w:color w:val="000000"/>
        </w:rPr>
      </w:pPr>
      <w:r>
        <w:rPr>
          <w:color w:val="000000"/>
        </w:rPr>
        <w:t xml:space="preserve">Try to login to the SP from a national </w:t>
      </w:r>
      <w:proofErr w:type="spellStart"/>
      <w:r>
        <w:rPr>
          <w:color w:val="000000"/>
        </w:rPr>
        <w:t>IdP</w:t>
      </w:r>
      <w:proofErr w:type="spellEnd"/>
      <w:r>
        <w:rPr>
          <w:color w:val="000000"/>
        </w:rPr>
        <w:t xml:space="preserve"> from another country than the </w:t>
      </w:r>
      <w:proofErr w:type="gramStart"/>
      <w:r>
        <w:rPr>
          <w:color w:val="000000"/>
        </w:rPr>
        <w:t>centre’s</w:t>
      </w:r>
      <w:proofErr w:type="gramEnd"/>
      <w:r>
        <w:rPr>
          <w:color w:val="000000"/>
        </w:rPr>
        <w:t xml:space="preserve">. See if login from more identity providers are allowed.  Check with shib_test.pl if the right attributes are available from a national </w:t>
      </w:r>
      <w:proofErr w:type="spellStart"/>
      <w:r>
        <w:rPr>
          <w:color w:val="000000"/>
        </w:rPr>
        <w:t>IdP</w:t>
      </w:r>
      <w:proofErr w:type="spellEnd"/>
      <w:r>
        <w:rPr>
          <w:color w:val="000000"/>
        </w:rPr>
        <w:t xml:space="preserve"> you have access to.</w:t>
      </w:r>
    </w:p>
    <w:p w14:paraId="617A8008" w14:textId="77777777" w:rsidR="00FD64AC" w:rsidRDefault="00FD64AC">
      <w:pPr>
        <w:jc w:val="both"/>
        <w:rPr>
          <w:color w:val="000000"/>
        </w:rPr>
      </w:pPr>
    </w:p>
    <w:p w14:paraId="338EA792" w14:textId="77777777" w:rsidR="00FD64AC" w:rsidRDefault="00D03A06">
      <w:pPr>
        <w:jc w:val="both"/>
      </w:pPr>
      <w:r>
        <w:rPr>
          <w:color w:val="000000"/>
        </w:rPr>
        <w:lastRenderedPageBreak/>
        <w:t xml:space="preserve">Check at </w:t>
      </w:r>
      <w:hyperlink r:id="rId25">
        <w:r>
          <w:rPr>
            <w:rStyle w:val="InternetLink"/>
          </w:rPr>
          <w:t>https://centres.clarin.eu/spf</w:t>
        </w:r>
      </w:hyperlink>
      <w:r>
        <w:rPr>
          <w:color w:val="000000"/>
        </w:rPr>
        <w:t xml:space="preserve"> what is provided for the centre. If possible, login to the SP with an </w:t>
      </w:r>
      <w:proofErr w:type="spellStart"/>
      <w:r>
        <w:rPr>
          <w:color w:val="000000"/>
        </w:rPr>
        <w:t>IdP</w:t>
      </w:r>
      <w:proofErr w:type="spellEnd"/>
      <w:r>
        <w:rPr>
          <w:color w:val="000000"/>
        </w:rPr>
        <w:t xml:space="preserve"> from each of the national identity federations that are member of the SPF. Check with shib_test.pl if the right attributes are available.</w:t>
      </w:r>
    </w:p>
    <w:p w14:paraId="02BF5EC4" w14:textId="77777777" w:rsidR="00FD64AC" w:rsidRDefault="00FD64AC">
      <w:pPr>
        <w:jc w:val="both"/>
        <w:rPr>
          <w:color w:val="000000"/>
        </w:rPr>
      </w:pPr>
    </w:p>
    <w:p w14:paraId="02A326B3" w14:textId="77777777" w:rsidR="00FD64AC" w:rsidRDefault="00D03A06">
      <w:pPr>
        <w:rPr>
          <w:b/>
        </w:rPr>
      </w:pPr>
      <w:r>
        <w:rPr>
          <w:b/>
        </w:rPr>
        <w:t>Centre statements:</w:t>
      </w:r>
    </w:p>
    <w:p w14:paraId="48105BEC" w14:textId="77777777" w:rsidR="00FD64AC" w:rsidRDefault="00D03A06">
      <w:pPr>
        <w:rPr>
          <w:i/>
        </w:rPr>
      </w:pPr>
      <w:bookmarkStart w:id="17" w:name="move43138858833"/>
      <w:bookmarkEnd w:id="17"/>
      <w:r>
        <w:rPr>
          <w:i/>
        </w:rPr>
        <w:t>(For each sub-requirement state if the centre fulfils the requirement)</w:t>
      </w:r>
    </w:p>
    <w:p w14:paraId="36A354BB" w14:textId="77777777" w:rsidR="00FD64AC" w:rsidRDefault="00FD64AC">
      <w:pPr>
        <w:jc w:val="both"/>
        <w:rPr>
          <w:color w:val="000000"/>
        </w:rPr>
      </w:pPr>
    </w:p>
    <w:p w14:paraId="32F660A0" w14:textId="7F1A3D92" w:rsidR="00FD64AC" w:rsidRDefault="00D03A06">
      <w:pPr>
        <w:pStyle w:val="Heading2"/>
        <w:numPr>
          <w:ilvl w:val="0"/>
          <w:numId w:val="4"/>
        </w:numPr>
      </w:pPr>
      <w:r>
        <w:t>Metadata</w:t>
      </w:r>
      <w:r w:rsidR="002F347F">
        <w:t xml:space="preserve"> (restructure</w:t>
      </w:r>
      <w:r w:rsidR="00304587">
        <w:t>d</w:t>
      </w:r>
      <w:r w:rsidR="002F347F">
        <w:t>)</w:t>
      </w:r>
    </w:p>
    <w:p w14:paraId="30E5BA09" w14:textId="77777777" w:rsidR="00FD64AC" w:rsidRDefault="00FD64AC">
      <w:pPr>
        <w:jc w:val="both"/>
        <w:rPr>
          <w:b/>
          <w:color w:val="000000"/>
        </w:rPr>
      </w:pPr>
    </w:p>
    <w:p w14:paraId="4C9CB5F3" w14:textId="64BEE50F" w:rsidR="00FD64AC" w:rsidRPr="00E55D62" w:rsidRDefault="00D03A06">
      <w:pPr>
        <w:jc w:val="both"/>
      </w:pPr>
      <w:r>
        <w:rPr>
          <w:b/>
          <w:color w:val="000000"/>
        </w:rPr>
        <w:t xml:space="preserve">Requirement: </w:t>
      </w:r>
      <w:r w:rsidR="007B23DB">
        <w:rPr>
          <w:b/>
          <w:color w:val="000000"/>
        </w:rPr>
        <w:t xml:space="preserve"> </w:t>
      </w:r>
      <w:r w:rsidR="005F0674">
        <w:rPr>
          <w:color w:val="000000"/>
        </w:rPr>
        <w:t>Centres</w:t>
      </w:r>
      <w:r w:rsidR="007B23DB">
        <w:rPr>
          <w:color w:val="000000"/>
        </w:rPr>
        <w:t xml:space="preserve"> should </w:t>
      </w:r>
      <w:r w:rsidR="00391C3A">
        <w:rPr>
          <w:color w:val="000000"/>
        </w:rPr>
        <w:t>offer</w:t>
      </w:r>
      <w:r w:rsidR="007B23DB">
        <w:rPr>
          <w:color w:val="000000"/>
        </w:rPr>
        <w:t xml:space="preserve"> human and machine-readable access to language resources/services and their metadata.</w:t>
      </w:r>
      <w:r w:rsidR="005F0674" w:rsidRPr="00514DA2">
        <w:rPr>
          <w:color w:val="000000"/>
        </w:rPr>
        <w:t xml:space="preserve"> </w:t>
      </w:r>
      <w:r>
        <w:rPr>
          <w:color w:val="000000"/>
        </w:rPr>
        <w:t xml:space="preserve">Centres need to offer </w:t>
      </w:r>
      <w:r w:rsidR="0040469D">
        <w:rPr>
          <w:color w:val="000000"/>
        </w:rPr>
        <w:t>component-based</w:t>
      </w:r>
      <w:r>
        <w:rPr>
          <w:color w:val="000000"/>
        </w:rPr>
        <w:t xml:space="preserve"> metadata (CMDI) that make use of elements from accepted registries such as the CCR</w:t>
      </w:r>
      <w:r>
        <w:rPr>
          <w:rStyle w:val="FootnoteAnchor"/>
          <w:color w:val="000000"/>
        </w:rPr>
        <w:footnoteReference w:id="10"/>
      </w:r>
      <w:r>
        <w:rPr>
          <w:color w:val="000000"/>
        </w:rPr>
        <w:t xml:space="preserve"> in accordance with the CLARIN agreements, i.e. metadata needs to be harvestable via OAI-PMH</w:t>
      </w:r>
      <w:r w:rsidR="005F0674">
        <w:rPr>
          <w:color w:val="000000"/>
        </w:rPr>
        <w:t>.</w:t>
      </w:r>
      <w:r w:rsidR="00E55D62">
        <w:rPr>
          <w:color w:val="000000"/>
        </w:rPr>
        <w:t xml:space="preserve"> It should feature an OAI-PMH endpoint through which the metadata can be harvested. The metadata should be CMDI-compliant (see </w:t>
      </w:r>
      <w:hyperlink r:id="rId26">
        <w:r w:rsidR="00E55D62">
          <w:rPr>
            <w:rStyle w:val="InternetLink"/>
          </w:rPr>
          <w:t>https://www.clarin.eu/cmdi</w:t>
        </w:r>
      </w:hyperlink>
      <w:r w:rsidR="00E55D62">
        <w:rPr>
          <w:color w:val="000000"/>
        </w:rPr>
        <w:t>) and valid.</w:t>
      </w:r>
    </w:p>
    <w:p w14:paraId="16A9EEAA" w14:textId="620928BC" w:rsidR="008F1D4B" w:rsidRDefault="008F1D4B" w:rsidP="008F1D4B">
      <w:pPr>
        <w:pStyle w:val="Heading3"/>
      </w:pPr>
      <w:r>
        <w:t xml:space="preserve">6.a Metadata </w:t>
      </w:r>
      <w:r w:rsidR="00317AC6">
        <w:t>harvestable</w:t>
      </w:r>
      <w:r>
        <w:t xml:space="preserve"> via OAI-PMH to the VLO</w:t>
      </w:r>
    </w:p>
    <w:p w14:paraId="1035BFDC" w14:textId="77777777" w:rsidR="008F1D4B" w:rsidRDefault="008F1D4B" w:rsidP="008F1D4B"/>
    <w:p w14:paraId="790E1510" w14:textId="72B7169D" w:rsidR="008F1D4B" w:rsidRDefault="008F1D4B" w:rsidP="008F1D4B">
      <w:r>
        <w:rPr>
          <w:b/>
          <w:color w:val="000000"/>
        </w:rPr>
        <w:t xml:space="preserve">Requirement: </w:t>
      </w:r>
      <w:r w:rsidR="00347832">
        <w:rPr>
          <w:color w:val="000000"/>
        </w:rPr>
        <w:t xml:space="preserve">Computer access to the repository: </w:t>
      </w:r>
      <w:r>
        <w:rPr>
          <w:color w:val="000000"/>
        </w:rPr>
        <w:t xml:space="preserve">Metadata harvesting to VLO </w:t>
      </w:r>
      <w:r w:rsidR="005F0674">
        <w:rPr>
          <w:color w:val="000000"/>
        </w:rPr>
        <w:t xml:space="preserve">should </w:t>
      </w:r>
      <w:r>
        <w:rPr>
          <w:color w:val="000000"/>
        </w:rPr>
        <w:t>work</w:t>
      </w:r>
      <w:r w:rsidR="00347832">
        <w:rPr>
          <w:color w:val="000000"/>
        </w:rPr>
        <w:t xml:space="preserve"> </w:t>
      </w:r>
      <w:r>
        <w:rPr>
          <w:color w:val="000000"/>
        </w:rPr>
        <w:t xml:space="preserve">- see </w:t>
      </w:r>
      <w:hyperlink r:id="rId27" w:history="1">
        <w:r w:rsidRPr="00BC0430">
          <w:rPr>
            <w:rStyle w:val="Hyperlink"/>
          </w:rPr>
          <w:t>https://vlo.clarin.eu/data/</w:t>
        </w:r>
      </w:hyperlink>
      <w:r>
        <w:t>.</w:t>
      </w:r>
    </w:p>
    <w:p w14:paraId="2C4B0538" w14:textId="77777777" w:rsidR="008F1D4B" w:rsidRDefault="008F1D4B" w:rsidP="008F1D4B">
      <w:pPr>
        <w:rPr>
          <w:b/>
          <w:color w:val="000000"/>
        </w:rPr>
      </w:pPr>
    </w:p>
    <w:p w14:paraId="23CA5A69" w14:textId="659079F8" w:rsidR="00121952" w:rsidRDefault="008F1D4B" w:rsidP="00121952">
      <w:r>
        <w:rPr>
          <w:b/>
          <w:color w:val="000000"/>
        </w:rPr>
        <w:t xml:space="preserve">Details: </w:t>
      </w:r>
      <w:r>
        <w:t xml:space="preserve">The </w:t>
      </w:r>
      <w:r w:rsidR="00121952">
        <w:rPr>
          <w:color w:val="000000"/>
        </w:rPr>
        <w:t xml:space="preserve">Metadata are harvested by the OAI-PMH protocol to the VLO </w:t>
      </w:r>
    </w:p>
    <w:p w14:paraId="5513F94E" w14:textId="119EE9C9" w:rsidR="008F1D4B" w:rsidRDefault="001779D5" w:rsidP="00121952">
      <w:hyperlink r:id="rId28" w:history="1">
        <w:r w:rsidR="00121952" w:rsidRPr="00BC0430">
          <w:rPr>
            <w:rStyle w:val="Hyperlink"/>
          </w:rPr>
          <w:t>https://vlo.clarin.eu/data/</w:t>
        </w:r>
      </w:hyperlink>
      <w:r w:rsidR="00121952">
        <w:rPr>
          <w:rStyle w:val="Hyperlink"/>
        </w:rPr>
        <w:t>.</w:t>
      </w:r>
      <w:r w:rsidR="00121952">
        <w:t xml:space="preserve"> </w:t>
      </w:r>
      <w:r w:rsidR="00121952" w:rsidRPr="00121952">
        <w:rPr>
          <w:color w:val="000000"/>
        </w:rPr>
        <w:t xml:space="preserve"> The </w:t>
      </w:r>
      <w:r w:rsidR="008F1D4B">
        <w:t xml:space="preserve">centre has to </w:t>
      </w:r>
      <w:r w:rsidR="00121952">
        <w:rPr>
          <w:color w:val="000000"/>
        </w:rPr>
        <w:t>s</w:t>
      </w:r>
      <w:r w:rsidR="00121952" w:rsidRPr="00121952">
        <w:rPr>
          <w:color w:val="000000"/>
        </w:rPr>
        <w:t xml:space="preserve">etup an OAI-PMH </w:t>
      </w:r>
      <w:r w:rsidR="00121952">
        <w:rPr>
          <w:color w:val="000000"/>
        </w:rPr>
        <w:t xml:space="preserve">endpoint </w:t>
      </w:r>
      <w:r w:rsidR="00121952" w:rsidRPr="00121952">
        <w:rPr>
          <w:color w:val="000000"/>
        </w:rPr>
        <w:t>of the repository and give a link to it</w:t>
      </w:r>
      <w:r w:rsidR="00121952">
        <w:rPr>
          <w:color w:val="000000"/>
        </w:rPr>
        <w:t xml:space="preserve">. The OAI-PMH endpoint should validate using the </w:t>
      </w:r>
      <w:hyperlink r:id="rId29" w:history="1">
        <w:r w:rsidR="00121952">
          <w:rPr>
            <w:rStyle w:val="Hyperlink"/>
          </w:rPr>
          <w:t>https://clarin.eu/oaivalidator</w:t>
        </w:r>
      </w:hyperlink>
      <w:r w:rsidR="00121952">
        <w:t>. H</w:t>
      </w:r>
      <w:r w:rsidR="00121952">
        <w:rPr>
          <w:color w:val="000000"/>
        </w:rPr>
        <w:t xml:space="preserve">arvesting </w:t>
      </w:r>
      <w:r w:rsidR="005C3969">
        <w:rPr>
          <w:color w:val="000000"/>
        </w:rPr>
        <w:t xml:space="preserve">metadata </w:t>
      </w:r>
      <w:r w:rsidR="00121952">
        <w:rPr>
          <w:color w:val="000000"/>
        </w:rPr>
        <w:t xml:space="preserve">by the VLO should be working and ‘search’ URL(s) to the harvested metadata should be stated. </w:t>
      </w:r>
    </w:p>
    <w:p w14:paraId="7A4FF582" w14:textId="77777777" w:rsidR="008F1D4B" w:rsidRPr="00514DA2" w:rsidRDefault="008F1D4B" w:rsidP="00514DA2">
      <w:pPr>
        <w:rPr>
          <w:b/>
        </w:rPr>
      </w:pPr>
    </w:p>
    <w:p w14:paraId="1FF6F3E1" w14:textId="1C3B21F8" w:rsidR="00FD64AC" w:rsidRDefault="008F1D4B" w:rsidP="00121952">
      <w:pPr>
        <w:rPr>
          <w:b/>
        </w:rPr>
      </w:pPr>
      <w:r w:rsidRPr="00514DA2">
        <w:rPr>
          <w:b/>
        </w:rPr>
        <w:t xml:space="preserve">Check </w:t>
      </w:r>
      <w:r>
        <w:rPr>
          <w:b/>
        </w:rPr>
        <w:t xml:space="preserve">procedure: </w:t>
      </w:r>
      <w:r w:rsidR="00121952" w:rsidRPr="00121952">
        <w:t>Validate the OAI-PMH endpoint</w:t>
      </w:r>
      <w:r w:rsidR="00121952">
        <w:t xml:space="preserve">; check that metadata </w:t>
      </w:r>
      <w:r w:rsidR="005C3969">
        <w:t xml:space="preserve">are at least provided in DC and CMDI formats, and that the metadata </w:t>
      </w:r>
      <w:r w:rsidR="00121952">
        <w:t xml:space="preserve">shows up in the VLO using the specified URL(s). </w:t>
      </w:r>
      <w:r w:rsidR="00121952">
        <w:rPr>
          <w:b/>
        </w:rPr>
        <w:t xml:space="preserve"> </w:t>
      </w:r>
    </w:p>
    <w:p w14:paraId="2392D6FA" w14:textId="77777777" w:rsidR="00297BFF" w:rsidRDefault="00297BFF" w:rsidP="00121952">
      <w:pPr>
        <w:rPr>
          <w:color w:val="000000"/>
        </w:rPr>
      </w:pPr>
    </w:p>
    <w:p w14:paraId="6479742D" w14:textId="77777777" w:rsidR="00297BFF" w:rsidRDefault="00297BFF" w:rsidP="00297BFF">
      <w:pPr>
        <w:rPr>
          <w:b/>
        </w:rPr>
      </w:pPr>
      <w:r>
        <w:rPr>
          <w:b/>
        </w:rPr>
        <w:t>Centre statements:</w:t>
      </w:r>
    </w:p>
    <w:p w14:paraId="5FF6B848" w14:textId="68CE3D3E" w:rsidR="00FD64AC" w:rsidRDefault="00297BFF" w:rsidP="00297BFF">
      <w:pPr>
        <w:jc w:val="both"/>
        <w:rPr>
          <w:color w:val="000000"/>
        </w:rPr>
      </w:pPr>
      <w:r>
        <w:rPr>
          <w:i/>
        </w:rPr>
        <w:t>(State if the centre fulfils the requirement)</w:t>
      </w:r>
    </w:p>
    <w:p w14:paraId="76FB1471" w14:textId="679D4CA4" w:rsidR="00121952" w:rsidRDefault="00121952" w:rsidP="00121952">
      <w:pPr>
        <w:pStyle w:val="Heading3"/>
      </w:pPr>
      <w:r>
        <w:t xml:space="preserve">6.b CMDI metadata </w:t>
      </w:r>
      <w:r w:rsidR="00317AC6">
        <w:t>validation and use of</w:t>
      </w:r>
      <w:r w:rsidR="00297BFF">
        <w:t xml:space="preserve"> </w:t>
      </w:r>
      <w:r w:rsidR="005C3969">
        <w:t>CMDI profiles</w:t>
      </w:r>
      <w:r w:rsidR="00304587">
        <w:t xml:space="preserve"> with CCR </w:t>
      </w:r>
      <w:proofErr w:type="spellStart"/>
      <w:r w:rsidR="00304587">
        <w:t>ConceptLinks</w:t>
      </w:r>
      <w:proofErr w:type="spellEnd"/>
    </w:p>
    <w:p w14:paraId="194C22C6" w14:textId="77777777" w:rsidR="00121952" w:rsidRDefault="00121952" w:rsidP="00121952"/>
    <w:p w14:paraId="327EA7D6" w14:textId="487EA4EE" w:rsidR="00121952" w:rsidRDefault="00121952" w:rsidP="00304587">
      <w:pPr>
        <w:jc w:val="both"/>
      </w:pPr>
      <w:r>
        <w:rPr>
          <w:b/>
          <w:color w:val="000000"/>
        </w:rPr>
        <w:t xml:space="preserve">Requirement: </w:t>
      </w:r>
      <w:r w:rsidR="00304587">
        <w:rPr>
          <w:color w:val="000000"/>
        </w:rPr>
        <w:t xml:space="preserve">The metadata should be CMDI-compliant (see </w:t>
      </w:r>
      <w:hyperlink r:id="rId30">
        <w:r w:rsidR="00304587">
          <w:rPr>
            <w:rStyle w:val="InternetLink"/>
          </w:rPr>
          <w:t>https://www.clarin.eu/cmdi</w:t>
        </w:r>
      </w:hyperlink>
      <w:r w:rsidR="00304587">
        <w:rPr>
          <w:color w:val="000000"/>
        </w:rPr>
        <w:t xml:space="preserve">).  </w:t>
      </w:r>
      <w:r w:rsidR="00304587">
        <w:rPr>
          <w:szCs w:val="22"/>
        </w:rPr>
        <w:t xml:space="preserve">The CMDI profiles, that a centre uses for their published metadata, have to be public, with preferably the status </w:t>
      </w:r>
      <w:r w:rsidR="00304587" w:rsidRPr="00C07687">
        <w:rPr>
          <w:i/>
          <w:szCs w:val="22"/>
        </w:rPr>
        <w:t>production</w:t>
      </w:r>
      <w:r w:rsidR="00304587">
        <w:rPr>
          <w:szCs w:val="22"/>
        </w:rPr>
        <w:t xml:space="preserve"> (but </w:t>
      </w:r>
      <w:r w:rsidR="00304587" w:rsidRPr="00C07687">
        <w:rPr>
          <w:i/>
          <w:szCs w:val="22"/>
        </w:rPr>
        <w:t>draft</w:t>
      </w:r>
      <w:r w:rsidR="00304587">
        <w:rPr>
          <w:szCs w:val="22"/>
        </w:rPr>
        <w:t xml:space="preserve"> or </w:t>
      </w:r>
      <w:r w:rsidR="00304587" w:rsidRPr="00C07687">
        <w:rPr>
          <w:i/>
          <w:szCs w:val="22"/>
        </w:rPr>
        <w:t>deprecated</w:t>
      </w:r>
      <w:r w:rsidR="00304587">
        <w:rPr>
          <w:szCs w:val="22"/>
        </w:rPr>
        <w:t xml:space="preserve"> are acceptable), to be accepted in assessment. </w:t>
      </w:r>
      <w:r w:rsidR="00304587">
        <w:rPr>
          <w:color w:val="000000"/>
        </w:rPr>
        <w:t xml:space="preserve">It is also preferable that the elements contain valid </w:t>
      </w:r>
      <w:proofErr w:type="spellStart"/>
      <w:r w:rsidR="00304587">
        <w:rPr>
          <w:color w:val="000000"/>
        </w:rPr>
        <w:t>ConceptLinks</w:t>
      </w:r>
      <w:proofErr w:type="spellEnd"/>
      <w:r w:rsidR="00304587">
        <w:rPr>
          <w:color w:val="000000"/>
        </w:rPr>
        <w:t xml:space="preserve"> to the CCR.</w:t>
      </w:r>
      <w:r w:rsidR="00304587">
        <w:rPr>
          <w:szCs w:val="22"/>
        </w:rPr>
        <w:t xml:space="preserve"> Proposals for </w:t>
      </w:r>
      <w:proofErr w:type="spellStart"/>
      <w:r w:rsidR="00304587">
        <w:rPr>
          <w:szCs w:val="22"/>
        </w:rPr>
        <w:t>ConceptLinks</w:t>
      </w:r>
      <w:proofErr w:type="spellEnd"/>
      <w:r w:rsidR="00304587">
        <w:rPr>
          <w:szCs w:val="22"/>
        </w:rPr>
        <w:t xml:space="preserve"> to be added to a published profile or component can be submitted to the Component Registry administrator (via </w:t>
      </w:r>
      <w:hyperlink r:id="rId31" w:history="1">
        <w:r w:rsidR="00304587">
          <w:rPr>
            <w:rStyle w:val="Hyperlink"/>
            <w:szCs w:val="22"/>
          </w:rPr>
          <w:t>cmdi@clarin.eu</w:t>
        </w:r>
      </w:hyperlink>
      <w:r w:rsidR="00304587">
        <w:rPr>
          <w:szCs w:val="22"/>
        </w:rPr>
        <w:t xml:space="preserve">). The evaluation of such a request might require a discussion with various stakeholders to assess the semantic fit of the proposed </w:t>
      </w:r>
      <w:proofErr w:type="spellStart"/>
      <w:r w:rsidR="00304587">
        <w:rPr>
          <w:szCs w:val="22"/>
        </w:rPr>
        <w:t>ConceptLinks</w:t>
      </w:r>
      <w:proofErr w:type="spellEnd"/>
      <w:r w:rsidR="00304587">
        <w:rPr>
          <w:szCs w:val="22"/>
        </w:rPr>
        <w:t xml:space="preserve">. The </w:t>
      </w:r>
      <w:r w:rsidR="005C3969" w:rsidRPr="005C3969">
        <w:rPr>
          <w:color w:val="000000"/>
        </w:rPr>
        <w:t xml:space="preserve">CMDI metadata </w:t>
      </w:r>
      <w:r w:rsidR="00304587">
        <w:rPr>
          <w:color w:val="000000"/>
        </w:rPr>
        <w:t xml:space="preserve">should </w:t>
      </w:r>
      <w:r w:rsidR="005C3969" w:rsidRPr="005C3969">
        <w:rPr>
          <w:color w:val="000000"/>
        </w:rPr>
        <w:t>validate</w:t>
      </w:r>
      <w:r w:rsidR="00304587">
        <w:rPr>
          <w:color w:val="000000"/>
        </w:rPr>
        <w:t>.</w:t>
      </w:r>
    </w:p>
    <w:p w14:paraId="3FF98127" w14:textId="77777777" w:rsidR="00121952" w:rsidRPr="00514DA2" w:rsidRDefault="00121952" w:rsidP="00514DA2">
      <w:pPr>
        <w:rPr>
          <w:b/>
          <w:color w:val="000000"/>
        </w:rPr>
      </w:pPr>
    </w:p>
    <w:p w14:paraId="127DC246" w14:textId="11EF028A" w:rsidR="005C3969" w:rsidRPr="005C3969" w:rsidRDefault="00121952" w:rsidP="005C3969">
      <w:pPr>
        <w:rPr>
          <w:color w:val="000000"/>
        </w:rPr>
      </w:pPr>
      <w:r w:rsidRPr="005C3969">
        <w:rPr>
          <w:b/>
          <w:color w:val="000000"/>
        </w:rPr>
        <w:t xml:space="preserve">Details: </w:t>
      </w:r>
      <w:r w:rsidR="005C3969" w:rsidRPr="005C3969">
        <w:rPr>
          <w:b/>
          <w:color w:val="000000"/>
        </w:rPr>
        <w:t xml:space="preserve"> </w:t>
      </w:r>
      <w:r w:rsidR="005C3969" w:rsidRPr="005C3969">
        <w:rPr>
          <w:color w:val="000000"/>
        </w:rPr>
        <w:t xml:space="preserve">Use the </w:t>
      </w:r>
      <w:hyperlink r:id="rId32" w:history="1">
        <w:r w:rsidR="005C3969" w:rsidRPr="00391C3A">
          <w:rPr>
            <w:rStyle w:val="Hyperlink"/>
          </w:rPr>
          <w:t>curation module</w:t>
        </w:r>
      </w:hyperlink>
      <w:r w:rsidR="00297BFF">
        <w:rPr>
          <w:color w:val="000000"/>
        </w:rPr>
        <w:t xml:space="preserve"> report </w:t>
      </w:r>
      <w:r w:rsidR="005C3969" w:rsidRPr="005C3969">
        <w:rPr>
          <w:color w:val="000000"/>
        </w:rPr>
        <w:t>output to</w:t>
      </w:r>
      <w:r w:rsidR="005C3969">
        <w:rPr>
          <w:b/>
          <w:color w:val="000000"/>
        </w:rPr>
        <w:t xml:space="preserve"> </w:t>
      </w:r>
      <w:r w:rsidR="005C3969" w:rsidRPr="005C3969">
        <w:rPr>
          <w:color w:val="000000"/>
        </w:rPr>
        <w:t>state</w:t>
      </w:r>
      <w:r w:rsidR="00297BFF">
        <w:rPr>
          <w:color w:val="000000"/>
        </w:rPr>
        <w:t xml:space="preserve"> that: </w:t>
      </w:r>
    </w:p>
    <w:p w14:paraId="0CFD36EE" w14:textId="6AE08B78" w:rsidR="00297BFF" w:rsidRDefault="00297BFF" w:rsidP="005C3969">
      <w:pPr>
        <w:pStyle w:val="ListParagraph"/>
        <w:numPr>
          <w:ilvl w:val="0"/>
          <w:numId w:val="10"/>
        </w:numPr>
        <w:rPr>
          <w:color w:val="000000"/>
        </w:rPr>
      </w:pPr>
      <w:r>
        <w:rPr>
          <w:color w:val="000000"/>
        </w:rPr>
        <w:t>T</w:t>
      </w:r>
      <w:r w:rsidRPr="005C3969">
        <w:rPr>
          <w:color w:val="000000"/>
        </w:rPr>
        <w:t>he harvested CMDI files validate against their XML schema</w:t>
      </w:r>
      <w:r>
        <w:rPr>
          <w:color w:val="000000"/>
        </w:rPr>
        <w:t xml:space="preserve"> </w:t>
      </w:r>
    </w:p>
    <w:p w14:paraId="2B9B89B0" w14:textId="51E412CD" w:rsidR="005C3969" w:rsidRDefault="00297BFF" w:rsidP="005C3969">
      <w:pPr>
        <w:pStyle w:val="ListParagraph"/>
        <w:numPr>
          <w:ilvl w:val="0"/>
          <w:numId w:val="10"/>
        </w:numPr>
      </w:pPr>
      <w:r>
        <w:rPr>
          <w:color w:val="000000"/>
        </w:rPr>
        <w:t xml:space="preserve">The </w:t>
      </w:r>
      <w:r w:rsidR="005C3969">
        <w:rPr>
          <w:color w:val="000000"/>
        </w:rPr>
        <w:t>profile(s) at the component registry are used (</w:t>
      </w:r>
      <w:hyperlink r:id="rId33" w:history="1">
        <w:r w:rsidR="005C3969">
          <w:rPr>
            <w:rStyle w:val="Hyperlink"/>
          </w:rPr>
          <w:t>https://clarin.eu/componentregistry</w:t>
        </w:r>
      </w:hyperlink>
      <w:r w:rsidR="005C3969">
        <w:rPr>
          <w:color w:val="000000"/>
        </w:rPr>
        <w:t>):</w:t>
      </w:r>
    </w:p>
    <w:p w14:paraId="08FDF0FE" w14:textId="77777777" w:rsidR="005C3969" w:rsidRDefault="005C3969" w:rsidP="005C3969">
      <w:pPr>
        <w:pStyle w:val="ListParagraph"/>
        <w:numPr>
          <w:ilvl w:val="1"/>
          <w:numId w:val="10"/>
        </w:numPr>
        <w:rPr>
          <w:color w:val="000000"/>
        </w:rPr>
      </w:pPr>
      <w:r>
        <w:rPr>
          <w:color w:val="000000"/>
        </w:rPr>
        <w:lastRenderedPageBreak/>
        <w:t xml:space="preserve">Are they public? </w:t>
      </w:r>
      <w:r>
        <w:rPr>
          <w:szCs w:val="22"/>
          <w:lang w:val="en-GB"/>
        </w:rPr>
        <w:t xml:space="preserve">Do they have the status </w:t>
      </w:r>
      <w:r w:rsidRPr="00C21935">
        <w:rPr>
          <w:i/>
          <w:szCs w:val="22"/>
          <w:lang w:val="en-GB"/>
        </w:rPr>
        <w:t>production</w:t>
      </w:r>
      <w:r>
        <w:rPr>
          <w:i/>
          <w:szCs w:val="22"/>
          <w:lang w:val="en-GB"/>
        </w:rPr>
        <w:t xml:space="preserve">, draft </w:t>
      </w:r>
      <w:r w:rsidRPr="00C21935">
        <w:rPr>
          <w:szCs w:val="22"/>
          <w:lang w:val="en-GB"/>
        </w:rPr>
        <w:t>or</w:t>
      </w:r>
      <w:r>
        <w:rPr>
          <w:i/>
          <w:szCs w:val="22"/>
          <w:lang w:val="en-GB"/>
        </w:rPr>
        <w:t xml:space="preserve"> deprecated</w:t>
      </w:r>
      <w:r>
        <w:rPr>
          <w:szCs w:val="22"/>
          <w:lang w:val="en-GB"/>
        </w:rPr>
        <w:t>?</w:t>
      </w:r>
    </w:p>
    <w:p w14:paraId="111301C4" w14:textId="77777777" w:rsidR="005C3969" w:rsidRDefault="005C3969" w:rsidP="005C3969">
      <w:pPr>
        <w:pStyle w:val="ListParagraph"/>
        <w:numPr>
          <w:ilvl w:val="1"/>
          <w:numId w:val="10"/>
        </w:numPr>
        <w:rPr>
          <w:color w:val="000000"/>
        </w:rPr>
      </w:pPr>
      <w:r>
        <w:rPr>
          <w:color w:val="000000"/>
        </w:rPr>
        <w:t xml:space="preserve">To which extent do the elements contain valid </w:t>
      </w:r>
      <w:proofErr w:type="spellStart"/>
      <w:r>
        <w:rPr>
          <w:color w:val="000000"/>
        </w:rPr>
        <w:t>ConceptLinks</w:t>
      </w:r>
      <w:proofErr w:type="spellEnd"/>
      <w:r>
        <w:rPr>
          <w:color w:val="000000"/>
        </w:rPr>
        <w:t xml:space="preserve"> to the CCR?</w:t>
      </w:r>
    </w:p>
    <w:p w14:paraId="7D3EFA84" w14:textId="0D853499" w:rsidR="00121952" w:rsidRPr="00D26B27" w:rsidRDefault="00121952" w:rsidP="00121952">
      <w:pPr>
        <w:rPr>
          <w:color w:val="000000"/>
        </w:rPr>
      </w:pPr>
      <w:r>
        <w:rPr>
          <w:color w:val="000000"/>
        </w:rPr>
        <w:t xml:space="preserve"> </w:t>
      </w:r>
    </w:p>
    <w:p w14:paraId="741D95CF" w14:textId="19412833" w:rsidR="00121952" w:rsidRDefault="00121952" w:rsidP="00121952">
      <w:pPr>
        <w:rPr>
          <w:b/>
        </w:rPr>
      </w:pPr>
      <w:r>
        <w:rPr>
          <w:b/>
        </w:rPr>
        <w:t xml:space="preserve">Check procedure: </w:t>
      </w:r>
      <w:r w:rsidR="00297BFF" w:rsidRPr="00297BFF">
        <w:t>Check</w:t>
      </w:r>
      <w:r w:rsidR="00297BFF">
        <w:t xml:space="preserve"> </w:t>
      </w:r>
      <w:r w:rsidR="00297BFF" w:rsidRPr="005C3969">
        <w:rPr>
          <w:color w:val="000000"/>
        </w:rPr>
        <w:t>the curation module</w:t>
      </w:r>
      <w:r w:rsidR="00297BFF">
        <w:rPr>
          <w:color w:val="000000"/>
        </w:rPr>
        <w:t xml:space="preserve"> report for the specified collection using </w:t>
      </w:r>
      <w:hyperlink r:id="rId34" w:history="1">
        <w:r w:rsidR="003341C2" w:rsidRPr="00C55B89">
          <w:rPr>
            <w:rStyle w:val="Hyperlink"/>
          </w:rPr>
          <w:t>https://curate.acdh.oeaw.ac.at/collection/table</w:t>
        </w:r>
      </w:hyperlink>
      <w:r w:rsidR="003341C2">
        <w:t xml:space="preserve"> </w:t>
      </w:r>
      <w:r>
        <w:t xml:space="preserve">. </w:t>
      </w:r>
      <w:r>
        <w:rPr>
          <w:b/>
        </w:rPr>
        <w:t xml:space="preserve"> </w:t>
      </w:r>
    </w:p>
    <w:p w14:paraId="36BC7CF8" w14:textId="77777777" w:rsidR="00297BFF" w:rsidRDefault="00297BFF" w:rsidP="00297BFF">
      <w:pPr>
        <w:rPr>
          <w:b/>
        </w:rPr>
      </w:pPr>
    </w:p>
    <w:p w14:paraId="1FD85E6F" w14:textId="1C95B7E5" w:rsidR="00297BFF" w:rsidRDefault="00297BFF" w:rsidP="00297BFF">
      <w:pPr>
        <w:rPr>
          <w:b/>
        </w:rPr>
      </w:pPr>
      <w:r>
        <w:rPr>
          <w:b/>
        </w:rPr>
        <w:t>Centre statements:</w:t>
      </w:r>
    </w:p>
    <w:p w14:paraId="4AAB79B4" w14:textId="3EEEE3FD" w:rsidR="00297BFF" w:rsidRDefault="00297BFF" w:rsidP="004533C7">
      <w:pPr>
        <w:rPr>
          <w:color w:val="000000"/>
        </w:rPr>
      </w:pPr>
      <w:r>
        <w:rPr>
          <w:i/>
        </w:rPr>
        <w:t>(State if the centre fulfils the requirement</w:t>
      </w:r>
      <w:r w:rsidR="00A84F30">
        <w:rPr>
          <w:i/>
        </w:rPr>
        <w:t xml:space="preserve">: </w:t>
      </w:r>
      <w:r w:rsidR="00A84F30" w:rsidRPr="005C3969">
        <w:rPr>
          <w:color w:val="000000"/>
        </w:rPr>
        <w:t xml:space="preserve">Use </w:t>
      </w:r>
      <w:hyperlink r:id="rId35" w:history="1">
        <w:r w:rsidR="00A84F30" w:rsidRPr="00391C3A">
          <w:rPr>
            <w:rStyle w:val="Hyperlink"/>
          </w:rPr>
          <w:t>the curation module</w:t>
        </w:r>
      </w:hyperlink>
      <w:r w:rsidR="00A84F30">
        <w:rPr>
          <w:color w:val="000000"/>
        </w:rPr>
        <w:t xml:space="preserve"> </w:t>
      </w:r>
      <w:r w:rsidR="00A84F30">
        <w:rPr>
          <w:rStyle w:val="Hyperlink"/>
        </w:rPr>
        <w:t xml:space="preserve">to check that CMDI files validate and that CMDI profiles are public </w:t>
      </w:r>
      <w:r>
        <w:rPr>
          <w:i/>
        </w:rPr>
        <w:t>)</w:t>
      </w:r>
    </w:p>
    <w:p w14:paraId="6BEAE6A3" w14:textId="77777777" w:rsidR="00297BFF" w:rsidRDefault="00297BFF" w:rsidP="00121952">
      <w:pPr>
        <w:rPr>
          <w:color w:val="000000"/>
        </w:rPr>
      </w:pPr>
    </w:p>
    <w:p w14:paraId="3E59DBD3" w14:textId="44D4184A" w:rsidR="00297BFF" w:rsidRDefault="00D26B27" w:rsidP="00297BFF">
      <w:pPr>
        <w:pStyle w:val="Heading3"/>
      </w:pPr>
      <w:r>
        <w:t>6.c</w:t>
      </w:r>
      <w:r w:rsidR="00297BFF">
        <w:t xml:space="preserve"> </w:t>
      </w:r>
      <w:r w:rsidR="00317AC6">
        <w:t>M</w:t>
      </w:r>
      <w:r w:rsidR="00297BFF">
        <w:t xml:space="preserve">etadata </w:t>
      </w:r>
      <w:r w:rsidR="00317AC6">
        <w:t>PID</w:t>
      </w:r>
      <w:r>
        <w:t xml:space="preserve"> and references to resources</w:t>
      </w:r>
      <w:r w:rsidR="00297BFF">
        <w:t>.</w:t>
      </w:r>
    </w:p>
    <w:p w14:paraId="185313DB" w14:textId="77777777" w:rsidR="00297BFF" w:rsidRDefault="00297BFF" w:rsidP="00297BFF"/>
    <w:p w14:paraId="50277C61" w14:textId="3D76DC12" w:rsidR="00121952" w:rsidRDefault="00297BFF" w:rsidP="00297BFF">
      <w:pPr>
        <w:rPr>
          <w:color w:val="000000"/>
        </w:rPr>
      </w:pPr>
      <w:r>
        <w:rPr>
          <w:b/>
          <w:color w:val="000000"/>
        </w:rPr>
        <w:t xml:space="preserve">Requirement: </w:t>
      </w:r>
    </w:p>
    <w:p w14:paraId="1C0DCD3F" w14:textId="4ED0FBF8" w:rsidR="00FD64AC" w:rsidRDefault="00D03A06" w:rsidP="00514DA2">
      <w:pPr>
        <w:pStyle w:val="ListParagraph"/>
        <w:numPr>
          <w:ilvl w:val="0"/>
          <w:numId w:val="12"/>
        </w:numPr>
        <w:rPr>
          <w:color w:val="000000"/>
        </w:rPr>
      </w:pPr>
      <w:r>
        <w:rPr>
          <w:color w:val="000000"/>
        </w:rPr>
        <w:t>State if the harvested CMDI files contain a PID</w:t>
      </w:r>
      <w:r w:rsidR="00E7689C">
        <w:rPr>
          <w:rStyle w:val="FootnoteReference"/>
          <w:color w:val="000000"/>
        </w:rPr>
        <w:footnoteReference w:id="11"/>
      </w:r>
      <w:r>
        <w:rPr>
          <w:color w:val="000000"/>
        </w:rPr>
        <w:t xml:space="preserve"> in the </w:t>
      </w:r>
      <w:proofErr w:type="spellStart"/>
      <w:r>
        <w:rPr>
          <w:color w:val="000000"/>
        </w:rPr>
        <w:t>MdSelfLink</w:t>
      </w:r>
      <w:proofErr w:type="spellEnd"/>
      <w:r>
        <w:rPr>
          <w:color w:val="000000"/>
        </w:rPr>
        <w:t xml:space="preserve"> header field</w:t>
      </w:r>
    </w:p>
    <w:p w14:paraId="5887A6A7" w14:textId="77777777" w:rsidR="00FD64AC" w:rsidRDefault="00D03A06" w:rsidP="00514DA2">
      <w:pPr>
        <w:pStyle w:val="ListParagraph"/>
        <w:numPr>
          <w:ilvl w:val="0"/>
          <w:numId w:val="12"/>
        </w:numPr>
        <w:rPr>
          <w:color w:val="000000"/>
        </w:rPr>
      </w:pPr>
      <w:r>
        <w:rPr>
          <w:color w:val="000000"/>
        </w:rPr>
        <w:t xml:space="preserve">State if the harvested CMDI files refer to web-accessible files or a landing page with a </w:t>
      </w:r>
      <w:proofErr w:type="spellStart"/>
      <w:r>
        <w:rPr>
          <w:color w:val="000000"/>
        </w:rPr>
        <w:t>ResourceProxy</w:t>
      </w:r>
      <w:proofErr w:type="spellEnd"/>
    </w:p>
    <w:p w14:paraId="3F648461" w14:textId="77777777" w:rsidR="00FD64AC" w:rsidRDefault="00FD64AC">
      <w:pPr>
        <w:rPr>
          <w:color w:val="000000"/>
        </w:rPr>
      </w:pPr>
    </w:p>
    <w:p w14:paraId="55E90C22" w14:textId="35B21FFC" w:rsidR="00FD64AC" w:rsidRDefault="00D03A06" w:rsidP="00632D62">
      <w:pPr>
        <w:jc w:val="both"/>
        <w:rPr>
          <w:color w:val="000000"/>
        </w:rPr>
      </w:pPr>
      <w:bookmarkStart w:id="18" w:name="move431389333"/>
      <w:bookmarkEnd w:id="18"/>
      <w:r>
        <w:rPr>
          <w:b/>
          <w:color w:val="000000"/>
        </w:rPr>
        <w:t>Check procedure:</w:t>
      </w:r>
      <w:r w:rsidR="00632D62">
        <w:rPr>
          <w:b/>
          <w:color w:val="000000"/>
        </w:rPr>
        <w:t xml:space="preserve"> </w:t>
      </w:r>
      <w:r w:rsidR="00632D62" w:rsidRPr="00632D62">
        <w:rPr>
          <w:color w:val="000000"/>
        </w:rPr>
        <w:t xml:space="preserve">Check </w:t>
      </w:r>
      <w:r w:rsidR="00632D62">
        <w:rPr>
          <w:color w:val="000000"/>
        </w:rPr>
        <w:t xml:space="preserve">if the harvested CMDI files contain a PID in the </w:t>
      </w:r>
      <w:proofErr w:type="spellStart"/>
      <w:r w:rsidR="00632D62">
        <w:rPr>
          <w:color w:val="000000"/>
        </w:rPr>
        <w:t>MdSelfLink</w:t>
      </w:r>
      <w:proofErr w:type="spellEnd"/>
      <w:r w:rsidR="00632D62">
        <w:rPr>
          <w:color w:val="000000"/>
        </w:rPr>
        <w:t xml:space="preserve"> </w:t>
      </w:r>
      <w:r w:rsidR="00632D62" w:rsidRPr="00632D62">
        <w:rPr>
          <w:color w:val="000000"/>
        </w:rPr>
        <w:t>header field</w:t>
      </w:r>
      <w:r w:rsidR="00632D62">
        <w:rPr>
          <w:color w:val="000000"/>
        </w:rPr>
        <w:t xml:space="preserve">. </w:t>
      </w:r>
      <w:r w:rsidR="00632D62" w:rsidRPr="00632D62">
        <w:rPr>
          <w:color w:val="000000"/>
        </w:rPr>
        <w:t xml:space="preserve">State if the harvested CMDI files refer to web-accessible files or a landing page with a </w:t>
      </w:r>
      <w:proofErr w:type="spellStart"/>
      <w:r w:rsidR="00632D62" w:rsidRPr="00632D62">
        <w:rPr>
          <w:color w:val="000000"/>
        </w:rPr>
        <w:t>ResourceProxy</w:t>
      </w:r>
      <w:proofErr w:type="spellEnd"/>
      <w:r w:rsidR="00632D62">
        <w:rPr>
          <w:color w:val="000000"/>
        </w:rPr>
        <w:t>.</w:t>
      </w:r>
    </w:p>
    <w:p w14:paraId="66E78299" w14:textId="43748EFD" w:rsidR="00632D62" w:rsidRDefault="00632D62" w:rsidP="00632D62">
      <w:pPr>
        <w:jc w:val="both"/>
        <w:rPr>
          <w:color w:val="000000"/>
        </w:rPr>
      </w:pPr>
    </w:p>
    <w:p w14:paraId="6B68F70A" w14:textId="77777777" w:rsidR="00632D62" w:rsidRDefault="00632D62" w:rsidP="00632D62">
      <w:pPr>
        <w:rPr>
          <w:b/>
        </w:rPr>
      </w:pPr>
      <w:r>
        <w:rPr>
          <w:b/>
        </w:rPr>
        <w:t>Centre statements:</w:t>
      </w:r>
    </w:p>
    <w:p w14:paraId="34DA3C8F" w14:textId="2BA7D2EC" w:rsidR="00632D62" w:rsidRDefault="00632D62" w:rsidP="00632D62">
      <w:pPr>
        <w:jc w:val="both"/>
        <w:rPr>
          <w:i/>
        </w:rPr>
      </w:pPr>
      <w:r>
        <w:rPr>
          <w:i/>
        </w:rPr>
        <w:t xml:space="preserve">(State if the centre fulfils the requirement, give a </w:t>
      </w:r>
      <w:r w:rsidR="003D0BD5">
        <w:rPr>
          <w:i/>
        </w:rPr>
        <w:t>URL/</w:t>
      </w:r>
      <w:r>
        <w:rPr>
          <w:i/>
        </w:rPr>
        <w:t>PID</w:t>
      </w:r>
      <w:r w:rsidR="003D0BD5">
        <w:rPr>
          <w:i/>
        </w:rPr>
        <w:t xml:space="preserve"> to a CMDI file, and a UR</w:t>
      </w:r>
      <w:r w:rsidR="003341C2">
        <w:rPr>
          <w:i/>
        </w:rPr>
        <w:t>L</w:t>
      </w:r>
      <w:r w:rsidR="003D0BD5">
        <w:rPr>
          <w:i/>
        </w:rPr>
        <w:t>/PID to a</w:t>
      </w:r>
      <w:r w:rsidR="002F347F">
        <w:rPr>
          <w:i/>
        </w:rPr>
        <w:t xml:space="preserve"> </w:t>
      </w:r>
      <w:r w:rsidR="002F347F">
        <w:rPr>
          <w:color w:val="000000"/>
        </w:rPr>
        <w:t>web-accessible file or a landing page</w:t>
      </w:r>
      <w:r>
        <w:rPr>
          <w:i/>
        </w:rPr>
        <w:t>)</w:t>
      </w:r>
    </w:p>
    <w:p w14:paraId="0A9BA4A4" w14:textId="0E494934" w:rsidR="002F347F" w:rsidRDefault="002F347F" w:rsidP="002F347F">
      <w:pPr>
        <w:pStyle w:val="Heading3"/>
      </w:pPr>
      <w:r>
        <w:t>6.d U</w:t>
      </w:r>
      <w:r w:rsidRPr="002F347F">
        <w:t>ser access to the repository</w:t>
      </w:r>
      <w:r w:rsidR="00304587">
        <w:t xml:space="preserve"> (updated)</w:t>
      </w:r>
      <w:r w:rsidR="00323C06">
        <w:t xml:space="preserve"> </w:t>
      </w:r>
    </w:p>
    <w:p w14:paraId="1007D909" w14:textId="77777777" w:rsidR="002F347F" w:rsidRDefault="002F347F" w:rsidP="002F347F"/>
    <w:p w14:paraId="4B353674" w14:textId="2C8A0ED5" w:rsidR="00046DBB" w:rsidRDefault="002F347F" w:rsidP="00046DBB">
      <w:pPr>
        <w:rPr>
          <w:color w:val="000000"/>
        </w:rPr>
      </w:pPr>
      <w:r>
        <w:rPr>
          <w:b/>
          <w:color w:val="000000"/>
        </w:rPr>
        <w:t xml:space="preserve">Requirement: </w:t>
      </w:r>
      <w:r>
        <w:rPr>
          <w:color w:val="000000"/>
        </w:rPr>
        <w:t>Each centre should setup a repository (a web-accessible server that offers human access to language resources/services and their metadata).</w:t>
      </w:r>
      <w:r w:rsidRPr="002F347F">
        <w:rPr>
          <w:color w:val="000000"/>
        </w:rPr>
        <w:t xml:space="preserve"> </w:t>
      </w:r>
      <w:r>
        <w:rPr>
          <w:color w:val="000000"/>
        </w:rPr>
        <w:t xml:space="preserve">Specify </w:t>
      </w:r>
      <w:r w:rsidR="00304587">
        <w:rPr>
          <w:color w:val="000000"/>
        </w:rPr>
        <w:t xml:space="preserve">how human access </w:t>
      </w:r>
      <w:r w:rsidR="005F0674">
        <w:rPr>
          <w:color w:val="000000"/>
        </w:rPr>
        <w:t>is</w:t>
      </w:r>
      <w:r w:rsidR="00304587">
        <w:rPr>
          <w:color w:val="000000"/>
        </w:rPr>
        <w:t xml:space="preserve"> enabled. </w:t>
      </w:r>
    </w:p>
    <w:p w14:paraId="0F7BBC0B" w14:textId="77777777" w:rsidR="00046DBB" w:rsidRDefault="00046DBB" w:rsidP="00046DBB">
      <w:pPr>
        <w:rPr>
          <w:color w:val="000000"/>
        </w:rPr>
      </w:pPr>
    </w:p>
    <w:p w14:paraId="181DDD41" w14:textId="244EF067" w:rsidR="002F347F" w:rsidRDefault="00304587" w:rsidP="00046DBB">
      <w:pPr>
        <w:pStyle w:val="ListParagraph"/>
        <w:numPr>
          <w:ilvl w:val="0"/>
          <w:numId w:val="17"/>
        </w:numPr>
      </w:pPr>
      <w:r w:rsidRPr="00514DA2">
        <w:rPr>
          <w:color w:val="000000"/>
        </w:rPr>
        <w:t xml:space="preserve">If access is possible via a web </w:t>
      </w:r>
      <w:r w:rsidR="002F347F" w:rsidRPr="00514DA2">
        <w:rPr>
          <w:color w:val="000000"/>
        </w:rPr>
        <w:t>front-end for end users</w:t>
      </w:r>
      <w:r w:rsidRPr="00514DA2">
        <w:rPr>
          <w:color w:val="000000"/>
        </w:rPr>
        <w:t xml:space="preserve">, </w:t>
      </w:r>
      <w:r>
        <w:t>then s</w:t>
      </w:r>
      <w:r w:rsidR="002F347F" w:rsidRPr="002F347F">
        <w:t>tate the URL of the web interface of the repository</w:t>
      </w:r>
      <w:r>
        <w:t xml:space="preserve">. </w:t>
      </w:r>
    </w:p>
    <w:p w14:paraId="097A466F" w14:textId="77777777" w:rsidR="00046DBB" w:rsidRDefault="00046DBB" w:rsidP="00514DA2">
      <w:pPr>
        <w:pStyle w:val="ListParagraph"/>
      </w:pPr>
    </w:p>
    <w:p w14:paraId="48E4D84A" w14:textId="23E6CBB9" w:rsidR="00046DBB" w:rsidRPr="002F347F" w:rsidRDefault="00046DBB" w:rsidP="00514DA2">
      <w:pPr>
        <w:pStyle w:val="ListParagraph"/>
        <w:numPr>
          <w:ilvl w:val="0"/>
          <w:numId w:val="17"/>
        </w:numPr>
      </w:pPr>
      <w:r>
        <w:t>If access is only available via the VLO, state the URL of the VLO that can be used to browse through the (meta)data from the repository.</w:t>
      </w:r>
    </w:p>
    <w:p w14:paraId="71873AA1" w14:textId="77777777" w:rsidR="002F347F" w:rsidRPr="00D805CF" w:rsidRDefault="002F347F" w:rsidP="002F347F">
      <w:pPr>
        <w:jc w:val="both"/>
        <w:rPr>
          <w:color w:val="000000"/>
          <w:lang w:val="en-US"/>
        </w:rPr>
      </w:pPr>
    </w:p>
    <w:p w14:paraId="1206A45C" w14:textId="2A8A109F" w:rsidR="002F347F" w:rsidRDefault="002F347F" w:rsidP="002F347F">
      <w:pPr>
        <w:jc w:val="both"/>
        <w:rPr>
          <w:color w:val="000000"/>
        </w:rPr>
      </w:pPr>
      <w:r w:rsidRPr="00514DA2">
        <w:rPr>
          <w:b/>
          <w:color w:val="000000"/>
        </w:rPr>
        <w:t xml:space="preserve">Check </w:t>
      </w:r>
      <w:r>
        <w:rPr>
          <w:b/>
          <w:color w:val="000000"/>
        </w:rPr>
        <w:t xml:space="preserve">procedure: </w:t>
      </w:r>
      <w:r>
        <w:rPr>
          <w:color w:val="000000"/>
        </w:rPr>
        <w:t xml:space="preserve">If offering user </w:t>
      </w:r>
      <w:r w:rsidR="00304587">
        <w:rPr>
          <w:color w:val="000000"/>
        </w:rPr>
        <w:t>web-</w:t>
      </w:r>
      <w:r>
        <w:rPr>
          <w:color w:val="000000"/>
        </w:rPr>
        <w:t>access to the repository:</w:t>
      </w:r>
    </w:p>
    <w:p w14:paraId="481EAD5F" w14:textId="6A65C6C2" w:rsidR="002F347F" w:rsidRPr="00514DA2" w:rsidRDefault="002F347F" w:rsidP="002F347F">
      <w:pPr>
        <w:jc w:val="both"/>
        <w:rPr>
          <w:b/>
          <w:color w:val="000000"/>
        </w:rPr>
      </w:pPr>
      <w:r>
        <w:rPr>
          <w:color w:val="000000"/>
        </w:rPr>
        <w:t>Browse to the web interface of the repository. Inspect some of the metadata records. Try to access some of the resources. (Check for broken links and non-</w:t>
      </w:r>
      <w:proofErr w:type="spellStart"/>
      <w:r>
        <w:rPr>
          <w:color w:val="000000"/>
        </w:rPr>
        <w:t>shibbolized</w:t>
      </w:r>
      <w:proofErr w:type="spellEnd"/>
      <w:r>
        <w:rPr>
          <w:color w:val="000000"/>
        </w:rPr>
        <w:t xml:space="preserve"> password protection. Also check for access to either landing</w:t>
      </w:r>
      <w:r w:rsidR="005F0674">
        <w:rPr>
          <w:color w:val="000000"/>
        </w:rPr>
        <w:t xml:space="preserve"> </w:t>
      </w:r>
      <w:r>
        <w:rPr>
          <w:color w:val="000000"/>
        </w:rPr>
        <w:t>pages or resources</w:t>
      </w:r>
      <w:r w:rsidR="005F0674">
        <w:rPr>
          <w:color w:val="000000"/>
        </w:rPr>
        <w:t>.</w:t>
      </w:r>
      <w:r>
        <w:rPr>
          <w:color w:val="000000"/>
        </w:rPr>
        <w:t>)</w:t>
      </w:r>
    </w:p>
    <w:p w14:paraId="0EF5FE82" w14:textId="77777777" w:rsidR="002F347F" w:rsidRPr="00514DA2" w:rsidRDefault="002F347F" w:rsidP="00632D62">
      <w:pPr>
        <w:jc w:val="both"/>
        <w:rPr>
          <w:color w:val="000000"/>
          <w:lang w:val="en-US"/>
        </w:rPr>
      </w:pPr>
    </w:p>
    <w:p w14:paraId="63345E8E" w14:textId="77777777" w:rsidR="002F347F" w:rsidRDefault="002F347F" w:rsidP="002F347F">
      <w:pPr>
        <w:rPr>
          <w:b/>
        </w:rPr>
      </w:pPr>
      <w:r>
        <w:rPr>
          <w:b/>
        </w:rPr>
        <w:t>Centre statements:</w:t>
      </w:r>
    </w:p>
    <w:p w14:paraId="6B1C5D01" w14:textId="6B6A572B" w:rsidR="002F347F" w:rsidRDefault="002F347F" w:rsidP="002F347F">
      <w:pPr>
        <w:jc w:val="both"/>
        <w:rPr>
          <w:color w:val="000000"/>
        </w:rPr>
      </w:pPr>
      <w:r>
        <w:rPr>
          <w:i/>
        </w:rPr>
        <w:t>(</w:t>
      </w:r>
      <w:r w:rsidR="00304587">
        <w:rPr>
          <w:i/>
        </w:rPr>
        <w:t>S</w:t>
      </w:r>
      <w:r>
        <w:rPr>
          <w:i/>
        </w:rPr>
        <w:t>tate if the centre fulfils the requirement)</w:t>
      </w:r>
    </w:p>
    <w:p w14:paraId="2D23042B" w14:textId="7AED26F1" w:rsidR="00FD64AC" w:rsidRDefault="00FD64AC">
      <w:pPr>
        <w:jc w:val="both"/>
        <w:rPr>
          <w:color w:val="000000"/>
        </w:rPr>
      </w:pPr>
    </w:p>
    <w:p w14:paraId="34D71093" w14:textId="5CE8DB3C" w:rsidR="002F347F" w:rsidRDefault="002F347F" w:rsidP="002F347F">
      <w:pPr>
        <w:pStyle w:val="Heading3"/>
      </w:pPr>
      <w:r>
        <w:t>6.d Web services (optional)</w:t>
      </w:r>
      <w:r w:rsidR="00AC5372">
        <w:t xml:space="preserve"> (updated)</w:t>
      </w:r>
    </w:p>
    <w:p w14:paraId="39A3AD0C" w14:textId="77777777" w:rsidR="002F347F" w:rsidRDefault="002F347F" w:rsidP="002F347F"/>
    <w:p w14:paraId="57327070" w14:textId="60536699" w:rsidR="002F347F" w:rsidRDefault="002F347F" w:rsidP="002F347F">
      <w:pPr>
        <w:rPr>
          <w:color w:val="000000"/>
        </w:rPr>
      </w:pPr>
      <w:r>
        <w:rPr>
          <w:b/>
          <w:color w:val="000000"/>
        </w:rPr>
        <w:t xml:space="preserve">Requirement: </w:t>
      </w:r>
      <w:r w:rsidR="004817C2" w:rsidRPr="004817C2">
        <w:rPr>
          <w:color w:val="000000"/>
        </w:rPr>
        <w:t>If the</w:t>
      </w:r>
      <w:r w:rsidR="00AC5372">
        <w:rPr>
          <w:color w:val="000000"/>
        </w:rPr>
        <w:t xml:space="preserve"> </w:t>
      </w:r>
      <w:r w:rsidR="00A17A85">
        <w:rPr>
          <w:color w:val="000000"/>
        </w:rPr>
        <w:t>centre offers</w:t>
      </w:r>
      <w:r w:rsidR="00AC5372">
        <w:rPr>
          <w:color w:val="000000"/>
        </w:rPr>
        <w:t xml:space="preserve"> web services then the CMDI files should comply to the CLARIN web service core model.</w:t>
      </w:r>
    </w:p>
    <w:p w14:paraId="451052AD" w14:textId="77777777" w:rsidR="002F347F" w:rsidRPr="00D805CF" w:rsidRDefault="002F347F" w:rsidP="002F347F">
      <w:pPr>
        <w:jc w:val="both"/>
        <w:rPr>
          <w:color w:val="000000"/>
          <w:lang w:val="en-US"/>
        </w:rPr>
      </w:pPr>
    </w:p>
    <w:p w14:paraId="28922F1C" w14:textId="77777777" w:rsidR="002F347F" w:rsidRDefault="002F347F" w:rsidP="002F347F">
      <w:pPr>
        <w:jc w:val="both"/>
        <w:rPr>
          <w:color w:val="000000"/>
        </w:rPr>
      </w:pPr>
      <w:r>
        <w:rPr>
          <w:b/>
          <w:color w:val="000000"/>
        </w:rPr>
        <w:lastRenderedPageBreak/>
        <w:t xml:space="preserve">Check procedure: </w:t>
      </w:r>
      <w:r>
        <w:rPr>
          <w:color w:val="000000"/>
        </w:rPr>
        <w:t>If offering metadata about web services:</w:t>
      </w:r>
    </w:p>
    <w:p w14:paraId="1E409675" w14:textId="1C3B0707" w:rsidR="002F347F" w:rsidRPr="00514DA2" w:rsidRDefault="002F347F" w:rsidP="00514DA2">
      <w:pPr>
        <w:jc w:val="both"/>
        <w:rPr>
          <w:b/>
          <w:color w:val="000000"/>
        </w:rPr>
      </w:pPr>
      <w:r>
        <w:rPr>
          <w:color w:val="000000"/>
        </w:rPr>
        <w:t>Check if the CMDI files validate against the web</w:t>
      </w:r>
      <w:r w:rsidR="005F0674">
        <w:rPr>
          <w:color w:val="000000"/>
        </w:rPr>
        <w:t xml:space="preserve"> </w:t>
      </w:r>
      <w:r>
        <w:rPr>
          <w:color w:val="000000"/>
        </w:rPr>
        <w:t xml:space="preserve">service core model via </w:t>
      </w:r>
      <w:hyperlink r:id="rId36" w:history="1">
        <w:r>
          <w:rPr>
            <w:rStyle w:val="Hyperlink"/>
          </w:rPr>
          <w:t>https://clarin.eu/cmd-core</w:t>
        </w:r>
      </w:hyperlink>
    </w:p>
    <w:p w14:paraId="2ED8D7A7" w14:textId="77777777" w:rsidR="002F347F" w:rsidRPr="002F347F" w:rsidRDefault="002F347F" w:rsidP="002F347F">
      <w:pPr>
        <w:jc w:val="both"/>
        <w:rPr>
          <w:color w:val="000000"/>
          <w:lang w:val="en-US"/>
        </w:rPr>
      </w:pPr>
    </w:p>
    <w:p w14:paraId="4FD5F0A4" w14:textId="77777777" w:rsidR="002F347F" w:rsidRPr="00514DA2" w:rsidRDefault="002F347F" w:rsidP="00514DA2">
      <w:pPr>
        <w:rPr>
          <w:b/>
        </w:rPr>
      </w:pPr>
      <w:r>
        <w:rPr>
          <w:b/>
        </w:rPr>
        <w:t>Centre statements:</w:t>
      </w:r>
    </w:p>
    <w:p w14:paraId="5D7DAEA6" w14:textId="5A82576E" w:rsidR="002F347F" w:rsidRPr="00514DA2" w:rsidRDefault="002F347F" w:rsidP="00514DA2">
      <w:pPr>
        <w:jc w:val="both"/>
        <w:rPr>
          <w:color w:val="000000"/>
        </w:rPr>
      </w:pPr>
      <w:bookmarkStart w:id="19" w:name="move43138933335"/>
      <w:bookmarkEnd w:id="19"/>
      <w:r>
        <w:rPr>
          <w:i/>
        </w:rPr>
        <w:t>(</w:t>
      </w:r>
      <w:r w:rsidR="00AC5372">
        <w:rPr>
          <w:i/>
        </w:rPr>
        <w:t xml:space="preserve">Optional </w:t>
      </w:r>
      <w:r>
        <w:rPr>
          <w:i/>
        </w:rPr>
        <w:t>requirement, but state if the centre fulfils the requirement)</w:t>
      </w:r>
    </w:p>
    <w:p w14:paraId="60C1F691" w14:textId="415A5689" w:rsidR="00347832" w:rsidRPr="00514DA2" w:rsidRDefault="00347832">
      <w:pPr>
        <w:jc w:val="both"/>
        <w:rPr>
          <w:color w:val="000000"/>
          <w:lang w:val="en-US"/>
        </w:rPr>
      </w:pPr>
    </w:p>
    <w:p w14:paraId="3C008AB5" w14:textId="16B6E7A8" w:rsidR="00FD64AC" w:rsidRDefault="00D03A06">
      <w:pPr>
        <w:pStyle w:val="Heading2"/>
        <w:numPr>
          <w:ilvl w:val="0"/>
          <w:numId w:val="4"/>
        </w:numPr>
      </w:pPr>
      <w:r>
        <w:t>Persistent Identifiers</w:t>
      </w:r>
      <w:r w:rsidR="00304587">
        <w:t xml:space="preserve"> </w:t>
      </w:r>
      <w:r w:rsidR="00055BA6">
        <w:t>(updated)</w:t>
      </w:r>
    </w:p>
    <w:p w14:paraId="7BD60C14" w14:textId="77777777" w:rsidR="00FD64AC" w:rsidRDefault="00FD64AC">
      <w:pPr>
        <w:jc w:val="both"/>
        <w:rPr>
          <w:b/>
          <w:color w:val="000000"/>
        </w:rPr>
      </w:pPr>
    </w:p>
    <w:p w14:paraId="5D9A62A9" w14:textId="4F573FBE" w:rsidR="00FD64AC" w:rsidRDefault="00D03A06">
      <w:pPr>
        <w:jc w:val="both"/>
      </w:pPr>
      <w:r>
        <w:rPr>
          <w:b/>
          <w:color w:val="000000"/>
        </w:rPr>
        <w:t xml:space="preserve">Requirement: </w:t>
      </w:r>
      <w:r>
        <w:rPr>
          <w:color w:val="000000"/>
        </w:rPr>
        <w:t>Centres need to associate</w:t>
      </w:r>
      <w:r w:rsidR="002C1327">
        <w:rPr>
          <w:color w:val="000000"/>
        </w:rPr>
        <w:t xml:space="preserve"> </w:t>
      </w:r>
      <w:r w:rsidR="00055BA6">
        <w:rPr>
          <w:color w:val="000000"/>
        </w:rPr>
        <w:t>PIDs (handles or DOIs)</w:t>
      </w:r>
      <w:r>
        <w:rPr>
          <w:color w:val="000000"/>
        </w:rPr>
        <w:t xml:space="preserve"> with their metadata records. These PIDs should be suitable for both human and machine interpretation, taking into account the HTTP-accept header. </w:t>
      </w:r>
    </w:p>
    <w:p w14:paraId="06C7CFEE" w14:textId="77777777" w:rsidR="00FD64AC" w:rsidRDefault="00FD64AC">
      <w:pPr>
        <w:jc w:val="both"/>
        <w:rPr>
          <w:color w:val="000000"/>
        </w:rPr>
      </w:pPr>
    </w:p>
    <w:p w14:paraId="3A808B78" w14:textId="50BF4F34" w:rsidR="00FD64AC" w:rsidRDefault="00D03A06">
      <w:pPr>
        <w:jc w:val="both"/>
      </w:pPr>
      <w:r>
        <w:rPr>
          <w:color w:val="000000"/>
        </w:rPr>
        <w:t xml:space="preserve">Individual files (e.g. a text, zip or sound file) can be referred to with either the </w:t>
      </w:r>
      <w:r w:rsidR="00055BA6">
        <w:rPr>
          <w:color w:val="000000"/>
        </w:rPr>
        <w:t xml:space="preserve">handle </w:t>
      </w:r>
      <w:r>
        <w:rPr>
          <w:color w:val="000000"/>
        </w:rPr>
        <w:t>of the describing metadata record in combination with a part identifier</w:t>
      </w:r>
      <w:r>
        <w:rPr>
          <w:rStyle w:val="FootnoteAnchor"/>
          <w:color w:val="000000"/>
        </w:rPr>
        <w:footnoteReference w:id="12"/>
      </w:r>
      <w:r>
        <w:rPr>
          <w:color w:val="000000"/>
        </w:rPr>
        <w:t xml:space="preserve"> or with another </w:t>
      </w:r>
      <w:r w:rsidR="00055BA6">
        <w:rPr>
          <w:color w:val="000000"/>
        </w:rPr>
        <w:t>handle</w:t>
      </w:r>
      <w:r>
        <w:rPr>
          <w:color w:val="000000"/>
        </w:rPr>
        <w:t xml:space="preserve">. </w:t>
      </w:r>
    </w:p>
    <w:p w14:paraId="7073424C" w14:textId="77777777" w:rsidR="00FD64AC" w:rsidRDefault="00FD64AC">
      <w:pPr>
        <w:jc w:val="both"/>
        <w:rPr>
          <w:color w:val="000000"/>
        </w:rPr>
      </w:pPr>
    </w:p>
    <w:p w14:paraId="10C3574C" w14:textId="77777777" w:rsidR="00FD64AC" w:rsidRDefault="00D03A06">
      <w:pPr>
        <w:jc w:val="both"/>
        <w:rPr>
          <w:color w:val="000000"/>
        </w:rPr>
      </w:pPr>
      <w:r>
        <w:rPr>
          <w:b/>
          <w:color w:val="000000"/>
        </w:rPr>
        <w:t>Details:</w:t>
      </w:r>
      <w:r>
        <w:rPr>
          <w:color w:val="000000"/>
        </w:rPr>
        <w:t xml:space="preserve"> A metadata record of a digital publication (e.g. a corpus, a treebank, a video file) contains information that is of high importance when citing it (e.g. the author, publication date, information about the corpus design, download links). To reach its maximal potential such important information needs to be available:</w:t>
      </w:r>
    </w:p>
    <w:p w14:paraId="30F8B17D" w14:textId="77777777" w:rsidR="00FD64AC" w:rsidRDefault="00D03A06">
      <w:pPr>
        <w:numPr>
          <w:ilvl w:val="0"/>
          <w:numId w:val="5"/>
        </w:numPr>
        <w:jc w:val="both"/>
        <w:rPr>
          <w:color w:val="000000"/>
        </w:rPr>
      </w:pPr>
      <w:r>
        <w:rPr>
          <w:color w:val="000000"/>
        </w:rPr>
        <w:t>for “classic” citations in e.g. a paper, where the end user is presented a web page with all relevant information</w:t>
      </w:r>
    </w:p>
    <w:p w14:paraId="4FBDC8B3" w14:textId="77777777" w:rsidR="00FD64AC" w:rsidRDefault="00D03A06">
      <w:pPr>
        <w:numPr>
          <w:ilvl w:val="0"/>
          <w:numId w:val="5"/>
        </w:numPr>
        <w:jc w:val="both"/>
        <w:rPr>
          <w:color w:val="000000"/>
        </w:rPr>
      </w:pPr>
      <w:r>
        <w:rPr>
          <w:color w:val="000000"/>
        </w:rPr>
        <w:t>for automatic processing, by e.g. an application or web service</w:t>
      </w:r>
    </w:p>
    <w:p w14:paraId="3EC94F06" w14:textId="77777777" w:rsidR="00FD64AC" w:rsidRDefault="00FD64AC">
      <w:pPr>
        <w:jc w:val="both"/>
        <w:rPr>
          <w:color w:val="000000"/>
        </w:rPr>
      </w:pPr>
    </w:p>
    <w:p w14:paraId="4BE96468" w14:textId="77777777" w:rsidR="00FD64AC" w:rsidRDefault="00D03A06">
      <w:pPr>
        <w:jc w:val="both"/>
        <w:rPr>
          <w:color w:val="000000"/>
        </w:rPr>
      </w:pPr>
      <w:r>
        <w:rPr>
          <w:color w:val="000000"/>
        </w:rPr>
        <w:t>To cope with both scenarios, CLARIN requires that URLs to which metadata PIDs point support the HTTP-accept header (“content negotiation”) with minimally the following mime types:</w:t>
      </w:r>
    </w:p>
    <w:p w14:paraId="53BDD1B5" w14:textId="77777777" w:rsidR="00FD64AC" w:rsidRDefault="00D03A06">
      <w:pPr>
        <w:numPr>
          <w:ilvl w:val="0"/>
          <w:numId w:val="6"/>
        </w:numPr>
        <w:jc w:val="both"/>
      </w:pPr>
      <w:r>
        <w:rPr>
          <w:b/>
          <w:color w:val="000000"/>
          <w:lang w:val="en-US"/>
        </w:rPr>
        <w:t>text/html</w:t>
      </w:r>
      <w:r>
        <w:rPr>
          <w:color w:val="000000"/>
          <w:lang w:val="en-US"/>
        </w:rPr>
        <w:t xml:space="preserve"> (web-browser, human readable</w:t>
      </w:r>
      <w:r>
        <w:rPr>
          <w:rStyle w:val="FootnoteAnchor"/>
          <w:color w:val="000000"/>
          <w:lang w:val="en-US"/>
        </w:rPr>
        <w:footnoteReference w:id="13"/>
      </w:r>
      <w:r>
        <w:rPr>
          <w:color w:val="000000"/>
          <w:lang w:val="en-US"/>
        </w:rPr>
        <w:t>)</w:t>
      </w:r>
    </w:p>
    <w:p w14:paraId="3422E41F" w14:textId="77777777" w:rsidR="00FD64AC" w:rsidRDefault="00D03A06">
      <w:pPr>
        <w:numPr>
          <w:ilvl w:val="0"/>
          <w:numId w:val="6"/>
        </w:numPr>
        <w:jc w:val="both"/>
      </w:pPr>
      <w:r>
        <w:rPr>
          <w:b/>
        </w:rPr>
        <w:t>application/</w:t>
      </w:r>
      <w:proofErr w:type="spellStart"/>
      <w:r>
        <w:rPr>
          <w:b/>
        </w:rPr>
        <w:t>x-cmdi+xml</w:t>
      </w:r>
      <w:proofErr w:type="spellEnd"/>
      <w:r>
        <w:t xml:space="preserve"> (CMDI</w:t>
      </w:r>
      <w:r>
        <w:rPr>
          <w:rStyle w:val="FootnoteAnchor"/>
        </w:rPr>
        <w:footnoteReference w:id="14"/>
      </w:r>
      <w:r>
        <w:t xml:space="preserve"> metadata, for machine interpretation)</w:t>
      </w:r>
    </w:p>
    <w:p w14:paraId="39964B29" w14:textId="77777777" w:rsidR="00FD64AC" w:rsidRDefault="00FD64AC">
      <w:pPr>
        <w:jc w:val="both"/>
        <w:rPr>
          <w:color w:val="000000"/>
        </w:rPr>
      </w:pPr>
    </w:p>
    <w:p w14:paraId="55CE2BD3" w14:textId="2280F33A" w:rsidR="00FD64AC" w:rsidRDefault="00D03A06">
      <w:pPr>
        <w:jc w:val="both"/>
        <w:rPr>
          <w:color w:val="000000"/>
        </w:rPr>
      </w:pPr>
      <w:r>
        <w:rPr>
          <w:color w:val="000000"/>
        </w:rPr>
        <w:t xml:space="preserve">There is no strict requirement in (the rare) case no HTTP-accept header is given by the </w:t>
      </w:r>
      <w:r w:rsidR="00BC7863">
        <w:rPr>
          <w:color w:val="000000"/>
        </w:rPr>
        <w:t>client;</w:t>
      </w:r>
      <w:r>
        <w:rPr>
          <w:color w:val="000000"/>
        </w:rPr>
        <w:t xml:space="preserve"> however</w:t>
      </w:r>
      <w:r w:rsidR="00775E75">
        <w:rPr>
          <w:color w:val="000000"/>
        </w:rPr>
        <w:t>,</w:t>
      </w:r>
      <w:r>
        <w:rPr>
          <w:color w:val="000000"/>
        </w:rPr>
        <w:t xml:space="preserve"> it is recommended to return in such a case a human readable version.</w:t>
      </w:r>
    </w:p>
    <w:p w14:paraId="617425E0" w14:textId="77777777" w:rsidR="00FD64AC" w:rsidRDefault="00FD64AC">
      <w:pPr>
        <w:jc w:val="both"/>
        <w:rPr>
          <w:color w:val="000000"/>
        </w:rPr>
      </w:pPr>
    </w:p>
    <w:p w14:paraId="3FDDF59D" w14:textId="15326200" w:rsidR="00FD64AC" w:rsidRDefault="00D03A06">
      <w:pPr>
        <w:jc w:val="both"/>
        <w:rPr>
          <w:color w:val="000000"/>
        </w:rPr>
      </w:pPr>
      <w:r>
        <w:rPr>
          <w:color w:val="000000"/>
        </w:rPr>
        <w:t xml:space="preserve">Non-metadata files should receive a </w:t>
      </w:r>
      <w:r w:rsidR="00055BA6">
        <w:rPr>
          <w:color w:val="000000"/>
        </w:rPr>
        <w:t xml:space="preserve">handle </w:t>
      </w:r>
      <w:r>
        <w:rPr>
          <w:color w:val="000000"/>
        </w:rPr>
        <w:t xml:space="preserve">or a </w:t>
      </w:r>
      <w:r w:rsidR="00055BA6">
        <w:rPr>
          <w:color w:val="000000"/>
        </w:rPr>
        <w:t xml:space="preserve">handle </w:t>
      </w:r>
      <w:r>
        <w:rPr>
          <w:color w:val="000000"/>
        </w:rPr>
        <w:t>in combination with a part identifier, if these files:</w:t>
      </w:r>
    </w:p>
    <w:p w14:paraId="41246FD0" w14:textId="77777777" w:rsidR="00FD64AC" w:rsidRDefault="00D03A06">
      <w:pPr>
        <w:numPr>
          <w:ilvl w:val="0"/>
          <w:numId w:val="9"/>
        </w:numPr>
        <w:jc w:val="both"/>
        <w:rPr>
          <w:color w:val="000000"/>
        </w:rPr>
      </w:pPr>
      <w:r>
        <w:rPr>
          <w:color w:val="000000"/>
        </w:rPr>
        <w:t>are accessible</w:t>
      </w:r>
      <w:r>
        <w:rPr>
          <w:rStyle w:val="FootnoteAnchor"/>
          <w:color w:val="000000"/>
        </w:rPr>
        <w:footnoteReference w:id="15"/>
      </w:r>
      <w:r>
        <w:rPr>
          <w:color w:val="000000"/>
        </w:rPr>
        <w:t xml:space="preserve"> via internet</w:t>
      </w:r>
    </w:p>
    <w:p w14:paraId="2DE247FE" w14:textId="77777777" w:rsidR="00FD64AC" w:rsidRDefault="00D03A06">
      <w:pPr>
        <w:numPr>
          <w:ilvl w:val="0"/>
          <w:numId w:val="9"/>
        </w:numPr>
        <w:jc w:val="both"/>
        <w:rPr>
          <w:color w:val="000000"/>
        </w:rPr>
      </w:pPr>
      <w:r>
        <w:rPr>
          <w:color w:val="000000"/>
        </w:rPr>
        <w:t>are considered to be stable by the data provider</w:t>
      </w:r>
    </w:p>
    <w:p w14:paraId="5CF0B569" w14:textId="77777777" w:rsidR="00FD64AC" w:rsidRDefault="00D03A06">
      <w:pPr>
        <w:numPr>
          <w:ilvl w:val="0"/>
          <w:numId w:val="9"/>
        </w:numPr>
        <w:jc w:val="both"/>
        <w:rPr>
          <w:color w:val="000000"/>
        </w:rPr>
      </w:pPr>
      <w:r>
        <w:rPr>
          <w:color w:val="000000"/>
        </w:rPr>
        <w:t xml:space="preserve">are </w:t>
      </w:r>
      <w:bookmarkStart w:id="20" w:name="OLE_LINK1"/>
      <w:bookmarkStart w:id="21" w:name="OLE_LINK2"/>
      <w:r>
        <w:rPr>
          <w:color w:val="000000"/>
        </w:rPr>
        <w:t xml:space="preserve">considered to be worth to be accessed directly (not via metadata records) </w:t>
      </w:r>
      <w:bookmarkEnd w:id="20"/>
      <w:bookmarkEnd w:id="21"/>
      <w:r>
        <w:rPr>
          <w:color w:val="000000"/>
        </w:rPr>
        <w:t>by the data provider</w:t>
      </w:r>
    </w:p>
    <w:p w14:paraId="196C6AB1" w14:textId="77777777" w:rsidR="00FD64AC" w:rsidRDefault="00FD64AC">
      <w:pPr>
        <w:jc w:val="both"/>
        <w:rPr>
          <w:color w:val="000000"/>
        </w:rPr>
      </w:pPr>
    </w:p>
    <w:p w14:paraId="6F45D134" w14:textId="48E644B5" w:rsidR="00FD64AC" w:rsidRDefault="00D03A06">
      <w:pPr>
        <w:jc w:val="both"/>
        <w:rPr>
          <w:color w:val="000000"/>
        </w:rPr>
      </w:pPr>
      <w:r>
        <w:rPr>
          <w:color w:val="000000"/>
        </w:rPr>
        <w:t xml:space="preserve">For (non-metadata) files there are in general 2 ways of issuing </w:t>
      </w:r>
      <w:r w:rsidR="00055BA6">
        <w:rPr>
          <w:color w:val="000000"/>
        </w:rPr>
        <w:t>handles</w:t>
      </w:r>
      <w:r>
        <w:rPr>
          <w:color w:val="000000"/>
        </w:rPr>
        <w:t>:</w:t>
      </w:r>
    </w:p>
    <w:p w14:paraId="6477ADFA" w14:textId="44E6C220" w:rsidR="00FD64AC" w:rsidRDefault="00D03A06">
      <w:pPr>
        <w:numPr>
          <w:ilvl w:val="0"/>
          <w:numId w:val="8"/>
        </w:numPr>
        <w:jc w:val="both"/>
        <w:rPr>
          <w:color w:val="000000"/>
        </w:rPr>
      </w:pPr>
      <w:r>
        <w:rPr>
          <w:color w:val="000000"/>
        </w:rPr>
        <w:t xml:space="preserve">with a separate </w:t>
      </w:r>
      <w:r w:rsidR="00055BA6">
        <w:rPr>
          <w:color w:val="000000"/>
        </w:rPr>
        <w:t xml:space="preserve">handle </w:t>
      </w:r>
      <w:r>
        <w:rPr>
          <w:color w:val="000000"/>
        </w:rPr>
        <w:t>for each file, pointing directly to the binary object on a web server</w:t>
      </w:r>
    </w:p>
    <w:p w14:paraId="5E5A33D9" w14:textId="63B20E74" w:rsidR="00FD64AC" w:rsidRDefault="00D03A06">
      <w:pPr>
        <w:numPr>
          <w:ilvl w:val="0"/>
          <w:numId w:val="8"/>
        </w:numPr>
        <w:jc w:val="both"/>
        <w:rPr>
          <w:color w:val="000000"/>
        </w:rPr>
      </w:pPr>
      <w:r>
        <w:rPr>
          <w:color w:val="000000"/>
        </w:rPr>
        <w:t xml:space="preserve">with a part identifier, which in addition to the </w:t>
      </w:r>
      <w:r w:rsidR="00055BA6">
        <w:rPr>
          <w:color w:val="000000"/>
        </w:rPr>
        <w:t xml:space="preserve">handle </w:t>
      </w:r>
      <w:r>
        <w:rPr>
          <w:color w:val="000000"/>
        </w:rPr>
        <w:t>of the related metadata record points to the binary object on a web server</w:t>
      </w:r>
    </w:p>
    <w:p w14:paraId="0F4B2FE9" w14:textId="77777777" w:rsidR="005F474A" w:rsidRDefault="005F474A" w:rsidP="004533C7">
      <w:pPr>
        <w:ind w:left="720"/>
        <w:jc w:val="both"/>
        <w:rPr>
          <w:color w:val="000000"/>
        </w:rPr>
      </w:pPr>
    </w:p>
    <w:p w14:paraId="11C0ACAF" w14:textId="77777777" w:rsidR="005F474A" w:rsidRDefault="005F474A" w:rsidP="005F474A">
      <w:pPr>
        <w:ind w:left="720"/>
        <w:rPr>
          <w:b/>
          <w:color w:val="000000"/>
        </w:rPr>
      </w:pPr>
      <w:r>
        <w:rPr>
          <w:b/>
          <w:color w:val="000000"/>
        </w:rPr>
        <w:lastRenderedPageBreak/>
        <w:t>Why?</w:t>
      </w:r>
    </w:p>
    <w:p w14:paraId="1C4F7272" w14:textId="79495F84" w:rsidR="005F474A" w:rsidRPr="004533C7" w:rsidRDefault="005F474A" w:rsidP="004533C7">
      <w:pPr>
        <w:ind w:left="720"/>
        <w:rPr>
          <w:color w:val="000000"/>
        </w:rPr>
      </w:pPr>
      <w:r w:rsidRPr="005F474A">
        <w:rPr>
          <w:color w:val="000000"/>
        </w:rPr>
        <w:t xml:space="preserve">FAIR </w:t>
      </w:r>
      <w:r>
        <w:rPr>
          <w:color w:val="000000"/>
        </w:rPr>
        <w:t xml:space="preserve">Findable </w:t>
      </w:r>
      <w:r w:rsidR="00775E75">
        <w:rPr>
          <w:color w:val="000000"/>
        </w:rPr>
        <w:t xml:space="preserve">requires </w:t>
      </w:r>
      <w:r w:rsidR="004007B3">
        <w:rPr>
          <w:color w:val="000000"/>
        </w:rPr>
        <w:t>unique identifier</w:t>
      </w:r>
      <w:r w:rsidR="00775E75">
        <w:rPr>
          <w:color w:val="000000"/>
        </w:rPr>
        <w:t>s on metadata and data</w:t>
      </w:r>
      <w:r>
        <w:rPr>
          <w:color w:val="000000"/>
        </w:rPr>
        <w:t>.</w:t>
      </w:r>
    </w:p>
    <w:p w14:paraId="4583F87A" w14:textId="77777777" w:rsidR="00FD64AC" w:rsidRDefault="00FD64AC">
      <w:pPr>
        <w:jc w:val="both"/>
        <w:rPr>
          <w:color w:val="000000"/>
          <w:lang w:val="en-US"/>
        </w:rPr>
      </w:pPr>
    </w:p>
    <w:p w14:paraId="72E048B1" w14:textId="77777777" w:rsidR="00FD64AC" w:rsidRDefault="00D03A06">
      <w:pPr>
        <w:jc w:val="both"/>
      </w:pPr>
      <w:bookmarkStart w:id="22" w:name="move431389823"/>
      <w:bookmarkEnd w:id="22"/>
      <w:r>
        <w:rPr>
          <w:b/>
          <w:color w:val="000000"/>
        </w:rPr>
        <w:t xml:space="preserve">Check procedure: </w:t>
      </w:r>
      <w:r>
        <w:rPr>
          <w:color w:val="000000"/>
        </w:rPr>
        <w:t xml:space="preserve">Try to resolve a PID for </w:t>
      </w:r>
      <w:r>
        <w:rPr>
          <w:i/>
          <w:color w:val="000000"/>
        </w:rPr>
        <w:t>a metadata record</w:t>
      </w:r>
      <w:r>
        <w:rPr>
          <w:color w:val="000000"/>
        </w:rPr>
        <w:t xml:space="preserve">. </w:t>
      </w:r>
    </w:p>
    <w:p w14:paraId="2151AF7B" w14:textId="77777777" w:rsidR="00FD64AC" w:rsidRDefault="00D03A06">
      <w:pPr>
        <w:jc w:val="both"/>
        <w:rPr>
          <w:color w:val="000000"/>
        </w:rPr>
      </w:pPr>
      <w:r>
        <w:rPr>
          <w:color w:val="000000"/>
        </w:rPr>
        <w:t>Check if:</w:t>
      </w:r>
    </w:p>
    <w:p w14:paraId="55C5BADA" w14:textId="77777777" w:rsidR="00FD64AC" w:rsidRDefault="00D03A06">
      <w:pPr>
        <w:numPr>
          <w:ilvl w:val="0"/>
          <w:numId w:val="7"/>
        </w:numPr>
        <w:jc w:val="both"/>
        <w:rPr>
          <w:color w:val="000000"/>
        </w:rPr>
      </w:pPr>
      <w:r>
        <w:rPr>
          <w:color w:val="000000"/>
        </w:rPr>
        <w:t>it redirects to a CMDI file for the HTTP-accept header “</w:t>
      </w:r>
      <w:r>
        <w:t>application/</w:t>
      </w:r>
      <w:proofErr w:type="spellStart"/>
      <w:r>
        <w:t>x-cmdi+xml</w:t>
      </w:r>
      <w:proofErr w:type="spellEnd"/>
      <w:r>
        <w:rPr>
          <w:b/>
        </w:rPr>
        <w:t>”</w:t>
      </w:r>
    </w:p>
    <w:p w14:paraId="1D9E2DBD" w14:textId="77777777" w:rsidR="00FD64AC" w:rsidRDefault="00D03A06">
      <w:pPr>
        <w:numPr>
          <w:ilvl w:val="0"/>
          <w:numId w:val="7"/>
        </w:numPr>
        <w:jc w:val="both"/>
        <w:rPr>
          <w:color w:val="000000"/>
        </w:rPr>
      </w:pPr>
      <w:r>
        <w:t>it redirects to an HTML file when accessing it from a browser</w:t>
      </w:r>
    </w:p>
    <w:p w14:paraId="584D7EC1" w14:textId="3F2C2268" w:rsidR="00FD64AC" w:rsidRDefault="00FD64AC">
      <w:pPr>
        <w:ind w:left="773"/>
        <w:jc w:val="both"/>
        <w:rPr>
          <w:color w:val="000000"/>
        </w:rPr>
      </w:pPr>
    </w:p>
    <w:p w14:paraId="4E2236C5" w14:textId="7C7FF35F" w:rsidR="003B6292" w:rsidRDefault="003B6292" w:rsidP="003B6292">
      <w:pPr>
        <w:jc w:val="both"/>
        <w:rPr>
          <w:color w:val="000000"/>
        </w:rPr>
      </w:pPr>
      <w:r>
        <w:rPr>
          <w:color w:val="000000"/>
        </w:rPr>
        <w:t>On the command line this can be done as follows:</w:t>
      </w:r>
    </w:p>
    <w:p w14:paraId="4350CB4E" w14:textId="0D94583D" w:rsidR="003B6292" w:rsidRDefault="003B6292" w:rsidP="003B6292">
      <w:pPr>
        <w:jc w:val="both"/>
        <w:rPr>
          <w:color w:val="000000"/>
        </w:rPr>
      </w:pPr>
    </w:p>
    <w:p w14:paraId="083E409C" w14:textId="67E27989" w:rsidR="003B6292" w:rsidRPr="003B6292" w:rsidRDefault="003B6292" w:rsidP="003B6292">
      <w:pPr>
        <w:jc w:val="both"/>
        <w:rPr>
          <w:rFonts w:ascii="Courier New" w:hAnsi="Courier New" w:cs="Courier New"/>
          <w:sz w:val="20"/>
          <w:szCs w:val="20"/>
        </w:rPr>
      </w:pPr>
      <w:r w:rsidRPr="003B6292">
        <w:rPr>
          <w:rFonts w:ascii="Courier New" w:hAnsi="Courier New" w:cs="Courier New"/>
          <w:sz w:val="20"/>
          <w:szCs w:val="20"/>
        </w:rPr>
        <w:t>curl -L -H "Accept: text/html" http://hdl.handle.net/11372/VC-1000</w:t>
      </w:r>
    </w:p>
    <w:p w14:paraId="765D7D32" w14:textId="77777777" w:rsidR="003B6292" w:rsidRPr="003B6292" w:rsidRDefault="003B6292" w:rsidP="003B6292">
      <w:pPr>
        <w:rPr>
          <w:rFonts w:ascii="Courier New" w:hAnsi="Courier New" w:cs="Courier New"/>
        </w:rPr>
      </w:pPr>
    </w:p>
    <w:p w14:paraId="574147DC" w14:textId="54601072" w:rsidR="003B6292" w:rsidRPr="003B6292" w:rsidRDefault="003B6292" w:rsidP="003B6292">
      <w:pPr>
        <w:rPr>
          <w:sz w:val="20"/>
          <w:szCs w:val="20"/>
        </w:rPr>
      </w:pPr>
      <w:r w:rsidRPr="003B6292">
        <w:rPr>
          <w:rFonts w:ascii="Courier New" w:hAnsi="Courier New" w:cs="Courier New"/>
          <w:sz w:val="20"/>
          <w:szCs w:val="20"/>
        </w:rPr>
        <w:t>curl -L -H "Accept: application/</w:t>
      </w:r>
      <w:proofErr w:type="spellStart"/>
      <w:r w:rsidRPr="003B6292">
        <w:rPr>
          <w:rFonts w:ascii="Courier New" w:hAnsi="Courier New" w:cs="Courier New"/>
          <w:sz w:val="20"/>
          <w:szCs w:val="20"/>
        </w:rPr>
        <w:t>x-cmdi+xml</w:t>
      </w:r>
      <w:proofErr w:type="spellEnd"/>
      <w:r w:rsidRPr="003B6292">
        <w:rPr>
          <w:rFonts w:ascii="Courier New" w:hAnsi="Courier New" w:cs="Courier New"/>
          <w:sz w:val="20"/>
          <w:szCs w:val="20"/>
        </w:rPr>
        <w:t>”</w:t>
      </w:r>
      <w:r w:rsidR="00971CEF">
        <w:rPr>
          <w:rFonts w:ascii="Courier New" w:hAnsi="Courier New" w:cs="Courier New"/>
          <w:sz w:val="20"/>
          <w:szCs w:val="20"/>
        </w:rPr>
        <w:t xml:space="preserve"> </w:t>
      </w:r>
      <w:r w:rsidR="00971CEF" w:rsidRPr="00971CEF">
        <w:rPr>
          <w:rFonts w:ascii="Courier New" w:hAnsi="Courier New" w:cs="Courier New"/>
          <w:sz w:val="20"/>
          <w:szCs w:val="20"/>
        </w:rPr>
        <w:t>https://doi.org/10.34733/vc-1000</w:t>
      </w:r>
    </w:p>
    <w:p w14:paraId="100DAA9E" w14:textId="77777777" w:rsidR="003B6292" w:rsidRDefault="003B6292" w:rsidP="003B6292">
      <w:pPr>
        <w:jc w:val="both"/>
        <w:rPr>
          <w:color w:val="000000"/>
        </w:rPr>
      </w:pPr>
    </w:p>
    <w:p w14:paraId="30049CD0" w14:textId="22433721" w:rsidR="00FD64AC" w:rsidRDefault="00132B56">
      <w:pPr>
        <w:jc w:val="both"/>
        <w:rPr>
          <w:color w:val="000000"/>
        </w:rPr>
      </w:pPr>
      <w:r>
        <w:rPr>
          <w:color w:val="000000"/>
        </w:rPr>
        <w:t xml:space="preserve">If non-metadata files have </w:t>
      </w:r>
      <w:r w:rsidR="00055BA6">
        <w:rPr>
          <w:color w:val="000000"/>
        </w:rPr>
        <w:t>handles</w:t>
      </w:r>
      <w:r>
        <w:rPr>
          <w:color w:val="000000"/>
        </w:rPr>
        <w:t xml:space="preserve">, try </w:t>
      </w:r>
      <w:r w:rsidR="00D03A06">
        <w:rPr>
          <w:color w:val="000000"/>
        </w:rPr>
        <w:t xml:space="preserve">to resolve a </w:t>
      </w:r>
      <w:r w:rsidR="00055BA6">
        <w:rPr>
          <w:color w:val="000000"/>
        </w:rPr>
        <w:t xml:space="preserve">handle </w:t>
      </w:r>
      <w:r w:rsidR="00D03A06">
        <w:rPr>
          <w:color w:val="000000"/>
        </w:rPr>
        <w:t xml:space="preserve">(with or without a part identifier), for </w:t>
      </w:r>
      <w:r w:rsidR="00D03A06">
        <w:rPr>
          <w:i/>
          <w:color w:val="000000"/>
        </w:rPr>
        <w:t>a (non-metadata) file</w:t>
      </w:r>
      <w:r w:rsidR="00D03A06">
        <w:rPr>
          <w:color w:val="000000"/>
        </w:rPr>
        <w:t>. Check if it redirects to an existing online resource.</w:t>
      </w:r>
    </w:p>
    <w:p w14:paraId="3C00A437" w14:textId="393B1A39" w:rsidR="00FD64AC" w:rsidRDefault="00FD64AC">
      <w:pPr>
        <w:jc w:val="both"/>
        <w:rPr>
          <w:color w:val="000000"/>
          <w:lang w:val="en-US"/>
        </w:rPr>
      </w:pPr>
    </w:p>
    <w:p w14:paraId="43AF0FEA" w14:textId="572846AC" w:rsidR="00F64854" w:rsidRDefault="00F64854">
      <w:pPr>
        <w:jc w:val="both"/>
        <w:rPr>
          <w:color w:val="000000"/>
          <w:lang w:val="en-US"/>
        </w:rPr>
      </w:pPr>
    </w:p>
    <w:p w14:paraId="7FA8A4D9" w14:textId="77777777" w:rsidR="00FD64AC" w:rsidRDefault="00D03A06">
      <w:pPr>
        <w:jc w:val="both"/>
        <w:rPr>
          <w:b/>
          <w:color w:val="000000"/>
          <w:lang w:val="en-US"/>
        </w:rPr>
      </w:pPr>
      <w:r>
        <w:rPr>
          <w:b/>
          <w:color w:val="000000"/>
          <w:lang w:val="en-US"/>
        </w:rPr>
        <w:t>Centre statements:</w:t>
      </w:r>
    </w:p>
    <w:p w14:paraId="03C914FE" w14:textId="2129E717" w:rsidR="00FD64AC" w:rsidRDefault="00D03A06">
      <w:pPr>
        <w:jc w:val="both"/>
        <w:rPr>
          <w:color w:val="000000"/>
          <w:lang w:val="en-US"/>
        </w:rPr>
      </w:pPr>
      <w:bookmarkStart w:id="23" w:name="move43138982337"/>
      <w:bookmarkEnd w:id="23"/>
      <w:r>
        <w:rPr>
          <w:color w:val="000000"/>
          <w:lang w:val="en-US"/>
        </w:rPr>
        <w:t>(For each sub-requirement state that the center fulfils the requirements</w:t>
      </w:r>
      <w:r w:rsidR="008C3835">
        <w:rPr>
          <w:color w:val="000000"/>
          <w:lang w:val="en-US"/>
        </w:rPr>
        <w:t xml:space="preserve"> and give example</w:t>
      </w:r>
      <w:r w:rsidR="00055BA6">
        <w:rPr>
          <w:color w:val="000000"/>
          <w:lang w:val="en-US"/>
        </w:rPr>
        <w:t>s of handles and/or DOIs</w:t>
      </w:r>
      <w:r>
        <w:rPr>
          <w:color w:val="000000"/>
          <w:lang w:val="en-US"/>
        </w:rPr>
        <w:t>)</w:t>
      </w:r>
    </w:p>
    <w:p w14:paraId="54370700" w14:textId="77777777" w:rsidR="00FD64AC" w:rsidRDefault="00FD64AC">
      <w:pPr>
        <w:jc w:val="both"/>
        <w:rPr>
          <w:color w:val="000000"/>
          <w:lang w:val="en-US"/>
        </w:rPr>
      </w:pPr>
    </w:p>
    <w:p w14:paraId="5E1463B7" w14:textId="1F50F8BC" w:rsidR="00FD64AC" w:rsidRDefault="00D03A06">
      <w:pPr>
        <w:pStyle w:val="Heading2"/>
        <w:numPr>
          <w:ilvl w:val="0"/>
          <w:numId w:val="4"/>
        </w:numPr>
      </w:pPr>
      <w:r>
        <w:t>Federated Content Search</w:t>
      </w:r>
      <w:r w:rsidR="00304587">
        <w:t xml:space="preserve"> (</w:t>
      </w:r>
      <w:r w:rsidR="00323C06">
        <w:t>optional) (</w:t>
      </w:r>
      <w:r w:rsidR="00304587">
        <w:t>unchanged)</w:t>
      </w:r>
    </w:p>
    <w:p w14:paraId="4F423FB7" w14:textId="77777777" w:rsidR="00FD64AC" w:rsidRDefault="00FD64AC">
      <w:pPr>
        <w:jc w:val="both"/>
        <w:rPr>
          <w:b/>
          <w:color w:val="000000"/>
        </w:rPr>
      </w:pPr>
    </w:p>
    <w:p w14:paraId="3B934053" w14:textId="77777777" w:rsidR="00FD64AC" w:rsidRDefault="00D03A06">
      <w:pPr>
        <w:jc w:val="both"/>
        <w:rPr>
          <w:color w:val="000000"/>
        </w:rPr>
      </w:pPr>
      <w:r>
        <w:rPr>
          <w:b/>
          <w:color w:val="000000"/>
        </w:rPr>
        <w:t xml:space="preserve">Requirement: </w:t>
      </w:r>
      <w:r>
        <w:rPr>
          <w:color w:val="000000"/>
        </w:rPr>
        <w:t>Centres can choose to participate in the Federated Content Search with their collections by providing an SRU/CQL Endpoint.</w:t>
      </w:r>
    </w:p>
    <w:p w14:paraId="1B1778C3" w14:textId="77777777" w:rsidR="00FD64AC" w:rsidRDefault="00FD64AC">
      <w:pPr>
        <w:jc w:val="both"/>
        <w:rPr>
          <w:color w:val="000000"/>
        </w:rPr>
      </w:pPr>
    </w:p>
    <w:p w14:paraId="6E8084B0" w14:textId="5E0C9655" w:rsidR="00FD64AC" w:rsidRDefault="00D03A06">
      <w:pPr>
        <w:jc w:val="both"/>
      </w:pPr>
      <w:r>
        <w:rPr>
          <w:b/>
          <w:color w:val="000000"/>
        </w:rPr>
        <w:t>Details</w:t>
      </w:r>
      <w:r>
        <w:rPr>
          <w:color w:val="000000"/>
        </w:rPr>
        <w:t>: A centre can expose its content search engine via SRU/CQL to participate in CLARIN’s Federated Content Search (</w:t>
      </w:r>
      <w:hyperlink r:id="rId37">
        <w:r w:rsidR="00615E65">
          <w:rPr>
            <w:rStyle w:val="InternetLink"/>
          </w:rPr>
          <w:t>https://www.clarin.eu/fcs</w:t>
        </w:r>
      </w:hyperlink>
      <w:r>
        <w:rPr>
          <w:color w:val="000000"/>
        </w:rPr>
        <w:t xml:space="preserve">). </w:t>
      </w:r>
    </w:p>
    <w:p w14:paraId="536F4873" w14:textId="77777777" w:rsidR="00FD64AC" w:rsidRDefault="00FD64AC">
      <w:pPr>
        <w:jc w:val="both"/>
        <w:rPr>
          <w:color w:val="000000"/>
        </w:rPr>
      </w:pPr>
    </w:p>
    <w:p w14:paraId="6F3B4EFF" w14:textId="0599FC6B" w:rsidR="00FD64AC" w:rsidRDefault="00D03A06">
      <w:bookmarkStart w:id="24" w:name="move431389837"/>
      <w:bookmarkEnd w:id="24"/>
      <w:r>
        <w:rPr>
          <w:b/>
          <w:color w:val="000000"/>
        </w:rPr>
        <w:t>Check procedure</w:t>
      </w:r>
      <w:r>
        <w:rPr>
          <w:color w:val="000000"/>
        </w:rPr>
        <w:t xml:space="preserve">: enter the endpoint URL at </w:t>
      </w:r>
      <w:hyperlink r:id="rId38" w:history="1">
        <w:r w:rsidR="0071300E" w:rsidRPr="00BC0430">
          <w:rPr>
            <w:rStyle w:val="Hyperlink"/>
          </w:rPr>
          <w:t>https://www.clarin.eu/fcsvalidator</w:t>
        </w:r>
      </w:hyperlink>
      <w:r w:rsidR="0071300E">
        <w:t xml:space="preserve"> </w:t>
      </w:r>
      <w:r>
        <w:rPr>
          <w:color w:val="000000"/>
        </w:rPr>
        <w:t>and validate.</w:t>
      </w:r>
    </w:p>
    <w:p w14:paraId="51528A11" w14:textId="77777777" w:rsidR="00FD64AC" w:rsidRDefault="00FD64AC">
      <w:pPr>
        <w:jc w:val="both"/>
        <w:rPr>
          <w:color w:val="000000"/>
        </w:rPr>
      </w:pPr>
    </w:p>
    <w:p w14:paraId="66878AB6" w14:textId="77777777" w:rsidR="00FD64AC" w:rsidRDefault="00D03A06">
      <w:pPr>
        <w:jc w:val="both"/>
        <w:rPr>
          <w:b/>
          <w:color w:val="000000"/>
          <w:lang w:val="en-US"/>
        </w:rPr>
      </w:pPr>
      <w:r>
        <w:rPr>
          <w:b/>
          <w:color w:val="000000"/>
          <w:lang w:val="en-US"/>
        </w:rPr>
        <w:t>Centre statements:</w:t>
      </w:r>
    </w:p>
    <w:p w14:paraId="58E0A1EC" w14:textId="660A1F11" w:rsidR="00B90E95" w:rsidRDefault="00D03A06">
      <w:pPr>
        <w:jc w:val="both"/>
        <w:rPr>
          <w:color w:val="000000"/>
        </w:rPr>
      </w:pPr>
      <w:r>
        <w:rPr>
          <w:i/>
          <w:color w:val="000000"/>
          <w:lang w:val="en-US"/>
        </w:rPr>
        <w:t>(</w:t>
      </w:r>
      <w:r w:rsidR="00304587">
        <w:rPr>
          <w:i/>
          <w:color w:val="000000"/>
          <w:lang w:val="en-US"/>
        </w:rPr>
        <w:t xml:space="preserve">Optional requirement: </w:t>
      </w:r>
      <w:r>
        <w:rPr>
          <w:i/>
          <w:color w:val="000000"/>
          <w:lang w:val="en-US"/>
        </w:rPr>
        <w:t xml:space="preserve">State if the </w:t>
      </w:r>
      <w:proofErr w:type="spellStart"/>
      <w:r>
        <w:rPr>
          <w:i/>
          <w:color w:val="000000"/>
          <w:lang w:val="en-US"/>
        </w:rPr>
        <w:t>centre</w:t>
      </w:r>
      <w:proofErr w:type="spellEnd"/>
      <w:r>
        <w:rPr>
          <w:i/>
          <w:color w:val="000000"/>
          <w:lang w:val="en-US"/>
        </w:rPr>
        <w:t xml:space="preserve"> provides an SRU/CQL Endpoint. If </w:t>
      </w:r>
      <w:proofErr w:type="gramStart"/>
      <w:r>
        <w:rPr>
          <w:i/>
          <w:color w:val="000000"/>
          <w:lang w:val="en-US"/>
        </w:rPr>
        <w:t>not</w:t>
      </w:r>
      <w:proofErr w:type="gramEnd"/>
      <w:r>
        <w:rPr>
          <w:i/>
          <w:color w:val="000000"/>
          <w:lang w:val="en-US"/>
        </w:rPr>
        <w:t xml:space="preserve"> then </w:t>
      </w:r>
      <w:r>
        <w:rPr>
          <w:i/>
        </w:rPr>
        <w:t xml:space="preserve">describe the plans for joining the Federated Content Search or explain why there are no plans to implement an </w:t>
      </w:r>
      <w:r>
        <w:rPr>
          <w:i/>
          <w:color w:val="000000"/>
          <w:lang w:val="en-US"/>
        </w:rPr>
        <w:t>SRU/CQL Endpoint)</w:t>
      </w:r>
      <w:bookmarkStart w:id="25" w:name="move43138983739"/>
      <w:bookmarkEnd w:id="25"/>
    </w:p>
    <w:p w14:paraId="5E1AB5B4" w14:textId="181F0841" w:rsidR="002D5355" w:rsidRDefault="002D5355" w:rsidP="00514DA2">
      <w:pPr>
        <w:suppressAutoHyphens w:val="0"/>
      </w:pPr>
    </w:p>
    <w:sectPr w:rsidR="002D5355">
      <w:footerReference w:type="default" r:id="rId39"/>
      <w:pgSz w:w="11906" w:h="16838"/>
      <w:pgMar w:top="1440" w:right="1800" w:bottom="1440" w:left="1800"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BF5E" w14:textId="77777777" w:rsidR="001779D5" w:rsidRDefault="001779D5">
      <w:r>
        <w:separator/>
      </w:r>
    </w:p>
  </w:endnote>
  <w:endnote w:type="continuationSeparator" w:id="0">
    <w:p w14:paraId="0A780D75" w14:textId="77777777" w:rsidR="001779D5" w:rsidRDefault="001779D5">
      <w:r>
        <w:continuationSeparator/>
      </w:r>
    </w:p>
  </w:endnote>
  <w:endnote w:type="continuationNotice" w:id="1">
    <w:p w14:paraId="00E77A8C" w14:textId="77777777" w:rsidR="001779D5" w:rsidRDefault="00177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AB5E" w14:textId="77777777" w:rsidR="003F52FC" w:rsidRDefault="003F52FC">
    <w:pPr>
      <w:pStyle w:val="Footer"/>
    </w:pPr>
    <w:r w:rsidRPr="00514DA2">
      <w:rPr>
        <w:noProof/>
        <w:lang w:val="en-US" w:eastAsia="en-US"/>
      </w:rPr>
      <mc:AlternateContent>
        <mc:Choice Requires="wps">
          <w:drawing>
            <wp:anchor distT="0" distB="0" distL="0" distR="0" simplePos="0" relativeHeight="10" behindDoc="0" locked="0" layoutInCell="1" allowOverlap="1" wp14:anchorId="22919D37" wp14:editId="2FEBF6A9">
              <wp:simplePos x="0" y="0"/>
              <wp:positionH relativeFrom="margin">
                <wp:posOffset>2596515</wp:posOffset>
              </wp:positionH>
              <wp:positionV relativeFrom="paragraph">
                <wp:posOffset>1905</wp:posOffset>
              </wp:positionV>
              <wp:extent cx="314325" cy="16383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314325" cy="163830"/>
                      </a:xfrm>
                      <a:prstGeom prst="rect">
                        <a:avLst/>
                      </a:prstGeom>
                      <a:solidFill>
                        <a:srgbClr val="FFFFFF">
                          <a:alpha val="0"/>
                        </a:srgbClr>
                      </a:solidFill>
                    </wps:spPr>
                    <wps:txbx>
                      <w:txbxContent>
                        <w:p w14:paraId="6F5E4D36" w14:textId="12E70C40" w:rsidR="003F52FC" w:rsidRDefault="003F52FC">
                          <w:pPr>
                            <w:pStyle w:val="Footer"/>
                          </w:pPr>
                          <w:r>
                            <w:rPr>
                              <w:rStyle w:val="PageNumber"/>
                            </w:rPr>
                            <w:fldChar w:fldCharType="begin"/>
                          </w:r>
                          <w:r>
                            <w:instrText>PAGE</w:instrText>
                          </w:r>
                          <w:r>
                            <w:fldChar w:fldCharType="separate"/>
                          </w:r>
                          <w:r w:rsidR="00274C7C">
                            <w:rPr>
                              <w:noProof/>
                            </w:rPr>
                            <w:t>1</w:t>
                          </w:r>
                          <w:r>
                            <w:fldChar w:fldCharType="end"/>
                          </w:r>
                        </w:p>
                      </w:txbxContent>
                    </wps:txbx>
                    <wps:bodyPr wrap="square" lIns="0" tIns="0" rIns="0" bIns="0" anchor="t">
                      <a:spAutoFit/>
                    </wps:bodyPr>
                  </wps:wsp>
                </a:graphicData>
              </a:graphic>
              <wp14:sizeRelH relativeFrom="margin">
                <wp14:pctWidth>0</wp14:pctWidth>
              </wp14:sizeRelH>
            </wp:anchor>
          </w:drawing>
        </mc:Choice>
        <mc:Fallback>
          <w:pict>
            <v:shapetype w14:anchorId="22919D37" id="_x0000_t202" coordsize="21600,21600" o:spt="202" path="m,l,21600r21600,l21600,xe">
              <v:stroke joinstyle="miter"/>
              <v:path gradientshapeok="t" o:connecttype="rect"/>
            </v:shapetype>
            <v:shape id="Frame1" o:spid="_x0000_s1026" type="#_x0000_t202" style="position:absolute;margin-left:204.45pt;margin-top:.15pt;width:24.75pt;height:12.9pt;z-index:1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" stroked="f">
              <v:fill opacity="0"/>
              <v:textbox style="mso-fit-shape-to-text:t" inset="0,0,0,0">
                <w:txbxContent>
                  <w:p w14:paraId="6F5E4D36" w14:textId="12E70C40" w:rsidR="003F52FC" w:rsidRDefault="003F52FC">
                    <w:pPr>
                      <w:pStyle w:val="Sidefod"/>
                    </w:pPr>
                    <w:r>
                      <w:rPr>
                        <w:rStyle w:val="Sidetal"/>
                      </w:rPr>
                      <w:fldChar w:fldCharType="begin"/>
                    </w:r>
                    <w:r>
                      <w:instrText>PAGE</w:instrText>
                    </w:r>
                    <w:r>
                      <w:fldChar w:fldCharType="separate"/>
                    </w:r>
                    <w:r w:rsidR="00274C7C">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3F436" w14:textId="77777777" w:rsidR="001779D5" w:rsidRDefault="001779D5">
      <w:r>
        <w:separator/>
      </w:r>
    </w:p>
  </w:footnote>
  <w:footnote w:type="continuationSeparator" w:id="0">
    <w:p w14:paraId="407C2E64" w14:textId="77777777" w:rsidR="001779D5" w:rsidRDefault="001779D5">
      <w:r>
        <w:continuationSeparator/>
      </w:r>
    </w:p>
  </w:footnote>
  <w:footnote w:type="continuationNotice" w:id="1">
    <w:p w14:paraId="34B27E97" w14:textId="77777777" w:rsidR="001779D5" w:rsidRDefault="001779D5"/>
  </w:footnote>
  <w:footnote w:id="2">
    <w:p w14:paraId="161026A6" w14:textId="77777777" w:rsidR="003F52FC" w:rsidRDefault="003F52FC" w:rsidP="007B23DB">
      <w:pPr>
        <w:pStyle w:val="Footnote"/>
      </w:pPr>
      <w:r>
        <w:rPr>
          <w:rStyle w:val="FootnoteReference"/>
        </w:rPr>
        <w:footnoteRef/>
      </w:r>
      <w:r>
        <w:rPr>
          <w:rStyle w:val="FootnoteReference"/>
        </w:rPr>
        <w:tab/>
      </w:r>
      <w:r w:rsidRPr="00FB6D0E">
        <w:rPr>
          <w:sz w:val="20"/>
          <w:szCs w:val="20"/>
        </w:rPr>
        <w:t xml:space="preserve"> </w:t>
      </w:r>
      <w:r w:rsidRPr="00FB6D0E">
        <w:rPr>
          <w:sz w:val="20"/>
          <w:szCs w:val="20"/>
          <w:lang w:val="en-US"/>
        </w:rPr>
        <w:t xml:space="preserve">See </w:t>
      </w:r>
      <w:hyperlink r:id="rId1">
        <w:r w:rsidRPr="00FB6D0E">
          <w:rPr>
            <w:rStyle w:val="InternetLink"/>
            <w:sz w:val="20"/>
            <w:szCs w:val="20"/>
            <w:lang w:val="en-US"/>
          </w:rPr>
          <w:t>https://www.clarin.eu/cmdi</w:t>
        </w:r>
      </w:hyperlink>
    </w:p>
  </w:footnote>
  <w:footnote w:id="3">
    <w:p w14:paraId="213CE0AC" w14:textId="5294125D" w:rsidR="003F52FC" w:rsidRPr="00514DA2" w:rsidRDefault="003F52FC">
      <w:pPr>
        <w:pStyle w:val="FootnoteText"/>
        <w:rPr>
          <w:lang w:val="en-US"/>
        </w:rPr>
      </w:pPr>
      <w:r>
        <w:rPr>
          <w:rStyle w:val="FootnoteReference"/>
        </w:rPr>
        <w:footnoteRef/>
      </w:r>
      <w:r>
        <w:t xml:space="preserve"> See </w:t>
      </w:r>
      <w:hyperlink r:id="rId2" w:history="1">
        <w:r w:rsidRPr="0078238C">
          <w:rPr>
            <w:rStyle w:val="Hyperlink"/>
            <w:lang w:val="en-US"/>
          </w:rPr>
          <w:t>https://www.clarin.eu/content/clarin-eric-statutes</w:t>
        </w:r>
      </w:hyperlink>
      <w:r>
        <w:rPr>
          <w:lang w:val="en-US"/>
        </w:rPr>
        <w:t xml:space="preserve"> , article 18</w:t>
      </w:r>
    </w:p>
  </w:footnote>
  <w:footnote w:id="4">
    <w:p w14:paraId="28AEDB05" w14:textId="77777777" w:rsidR="003F52FC" w:rsidRPr="008F5E82" w:rsidRDefault="003F52FC" w:rsidP="00031052">
      <w:pPr>
        <w:pStyle w:val="FootnoteText"/>
        <w:rPr>
          <w:lang w:val="en-US"/>
        </w:rPr>
      </w:pPr>
      <w:r>
        <w:rPr>
          <w:rStyle w:val="FootnoteReference"/>
        </w:rPr>
        <w:footnoteRef/>
      </w:r>
      <w:r>
        <w:t xml:space="preserve"> See </w:t>
      </w:r>
      <w:hyperlink r:id="rId3">
        <w:r>
          <w:rPr>
            <w:rStyle w:val="InternetLink"/>
          </w:rPr>
          <w:t>https://www.clarin.eu/node/3767</w:t>
        </w:r>
      </w:hyperlink>
      <w:r>
        <w:t xml:space="preserve"> (CE-2013-0137) for a template. </w:t>
      </w:r>
    </w:p>
  </w:footnote>
  <w:footnote w:id="5">
    <w:p w14:paraId="5AF8AFE9" w14:textId="246771B2" w:rsidR="003F52FC" w:rsidRDefault="003F52FC">
      <w:pPr>
        <w:pStyle w:val="Footnote"/>
      </w:pPr>
      <w:r>
        <w:rPr>
          <w:rStyle w:val="FootnoteReference"/>
        </w:rPr>
        <w:footnoteRef/>
      </w:r>
      <w:r w:rsidRPr="00FB6D0E">
        <w:rPr>
          <w:rStyle w:val="FootnoteReference"/>
          <w:sz w:val="20"/>
          <w:szCs w:val="20"/>
        </w:rPr>
        <w:tab/>
      </w:r>
      <w:r w:rsidRPr="00FB6D0E">
        <w:rPr>
          <w:sz w:val="20"/>
          <w:szCs w:val="20"/>
        </w:rPr>
        <w:t xml:space="preserve"> </w:t>
      </w:r>
      <w:r w:rsidRPr="00FB6D0E">
        <w:rPr>
          <w:sz w:val="20"/>
          <w:szCs w:val="20"/>
          <w:lang w:val="en-US"/>
        </w:rPr>
        <w:t xml:space="preserve">See </w:t>
      </w:r>
      <w:hyperlink r:id="rId4" w:history="1">
        <w:r w:rsidRPr="00FB6D0E">
          <w:rPr>
            <w:rStyle w:val="Hyperlink"/>
            <w:sz w:val="20"/>
            <w:szCs w:val="20"/>
            <w:lang w:val="en-US"/>
          </w:rPr>
          <w:t>https://tla.mpi.nl/resources/access-permissions/</w:t>
        </w:r>
      </w:hyperlink>
      <w:r w:rsidRPr="00FB6D0E">
        <w:rPr>
          <w:sz w:val="20"/>
          <w:szCs w:val="20"/>
          <w:lang w:val="en-US"/>
        </w:rPr>
        <w:t>as an example.</w:t>
      </w:r>
    </w:p>
  </w:footnote>
  <w:footnote w:id="6">
    <w:p w14:paraId="118154CA" w14:textId="29E2B2D8" w:rsidR="003F52FC" w:rsidRPr="001E56D3" w:rsidRDefault="003F52FC">
      <w:pPr>
        <w:pStyle w:val="Footnote"/>
        <w:rPr>
          <w:sz w:val="20"/>
          <w:szCs w:val="20"/>
        </w:rPr>
      </w:pPr>
      <w:r>
        <w:rPr>
          <w:rStyle w:val="FootnoteReference"/>
        </w:rPr>
        <w:footnoteRef/>
      </w:r>
      <w:r>
        <w:rPr>
          <w:rStyle w:val="FootnoteReference"/>
        </w:rPr>
        <w:tab/>
      </w:r>
      <w:r w:rsidRPr="001E56D3">
        <w:rPr>
          <w:sz w:val="20"/>
          <w:szCs w:val="20"/>
          <w:lang w:val="en-US"/>
        </w:rPr>
        <w:t xml:space="preserve">See </w:t>
      </w:r>
      <w:hyperlink r:id="rId5">
        <w:r w:rsidRPr="001E56D3">
          <w:rPr>
            <w:rStyle w:val="VisitedInternetLink"/>
            <w:sz w:val="20"/>
            <w:szCs w:val="20"/>
          </w:rPr>
          <w:t>http://hdl.handle.net/11113/00-0000-0000-0000-19BA-5@view</w:t>
        </w:r>
      </w:hyperlink>
      <w:hyperlink r:id="rId6"/>
      <w:r w:rsidRPr="001E56D3">
        <w:rPr>
          <w:sz w:val="20"/>
          <w:szCs w:val="20"/>
          <w:lang w:val="en-US"/>
        </w:rPr>
        <w:t xml:space="preserve"> for an example </w:t>
      </w:r>
    </w:p>
  </w:footnote>
  <w:footnote w:id="7">
    <w:p w14:paraId="299E8660" w14:textId="59C3BC3A" w:rsidR="003F52FC" w:rsidRPr="001E56D3" w:rsidRDefault="003F52FC">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lang w:val="en-US"/>
        </w:rPr>
        <w:t xml:space="preserve">See </w:t>
      </w:r>
      <w:hyperlink r:id="rId7">
        <w:r w:rsidRPr="001E56D3">
          <w:rPr>
            <w:rStyle w:val="VisitedInternetLink"/>
            <w:sz w:val="20"/>
            <w:szCs w:val="20"/>
            <w:lang w:val="en-US"/>
          </w:rPr>
          <w:t>https://www.clarin.eu/node/3910</w:t>
        </w:r>
      </w:hyperlink>
      <w:r w:rsidRPr="001E56D3">
        <w:rPr>
          <w:sz w:val="20"/>
          <w:szCs w:val="20"/>
          <w:lang w:val="en-US"/>
        </w:rPr>
        <w:t xml:space="preserve"> for more information</w:t>
      </w:r>
    </w:p>
  </w:footnote>
  <w:footnote w:id="8">
    <w:p w14:paraId="523F9A2B" w14:textId="2C08ABB6" w:rsidR="003F52FC" w:rsidRDefault="003F52FC" w:rsidP="00426E69">
      <w:pPr>
        <w:jc w:val="both"/>
      </w:pPr>
      <w:r w:rsidRPr="001E56D3">
        <w:rPr>
          <w:rStyle w:val="FootnoteReference"/>
          <w:sz w:val="20"/>
          <w:szCs w:val="20"/>
        </w:rPr>
        <w:footnoteRef/>
      </w:r>
      <w:r w:rsidRPr="001E56D3">
        <w:rPr>
          <w:rStyle w:val="FootnoteReference"/>
          <w:sz w:val="20"/>
          <w:szCs w:val="20"/>
        </w:rPr>
        <w:tab/>
      </w:r>
      <w:r w:rsidRPr="001E56D3">
        <w:rPr>
          <w:sz w:val="20"/>
          <w:szCs w:val="20"/>
        </w:rPr>
        <w:t xml:space="preserve">See </w:t>
      </w:r>
      <w:hyperlink r:id="rId8" w:history="1">
        <w:r w:rsidRPr="00DC7848">
          <w:rPr>
            <w:rStyle w:val="Hyperlink"/>
            <w:sz w:val="20"/>
            <w:szCs w:val="20"/>
          </w:rPr>
          <w:t>https://wiki.mozilla.org/CA/Included_Certificates</w:t>
        </w:r>
      </w:hyperlink>
      <w:r w:rsidRPr="00DC7848">
        <w:rPr>
          <w:sz w:val="20"/>
          <w:szCs w:val="20"/>
        </w:rPr>
        <w:t xml:space="preserve"> </w:t>
      </w:r>
    </w:p>
  </w:footnote>
  <w:footnote w:id="9">
    <w:p w14:paraId="1AA8945A" w14:textId="63B0288D" w:rsidR="00426E69" w:rsidRPr="00426E69" w:rsidRDefault="00426E69">
      <w:pPr>
        <w:pStyle w:val="FootnoteText"/>
        <w:rPr>
          <w:lang w:val="en-US"/>
        </w:rPr>
      </w:pPr>
      <w:r>
        <w:rPr>
          <w:rStyle w:val="FootnoteReference"/>
        </w:rPr>
        <w:footnoteRef/>
      </w:r>
      <w:r>
        <w:t xml:space="preserve"> </w:t>
      </w:r>
      <w:r>
        <w:tab/>
      </w:r>
      <w:r>
        <w:rPr>
          <w:lang w:val="en-US"/>
        </w:rPr>
        <w:t xml:space="preserve">Available at </w:t>
      </w:r>
      <w:hyperlink r:id="rId9" w:history="1">
        <w:r w:rsidRPr="00C55B89">
          <w:rPr>
            <w:rStyle w:val="Hyperlink"/>
            <w:lang w:val="en-US"/>
          </w:rPr>
          <w:t>https://lindat.mff.cuni.cz/services/aaggreg</w:t>
        </w:r>
      </w:hyperlink>
      <w:r>
        <w:rPr>
          <w:lang w:val="en-US"/>
        </w:rPr>
        <w:t xml:space="preserve"> </w:t>
      </w:r>
    </w:p>
  </w:footnote>
  <w:footnote w:id="10">
    <w:p w14:paraId="6D0A4DCB" w14:textId="23A08F51" w:rsidR="003F52FC" w:rsidRPr="001E56D3" w:rsidRDefault="003F52FC">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CLARIN Concept Registry: </w:t>
      </w:r>
      <w:hyperlink r:id="rId10">
        <w:r w:rsidRPr="001E56D3">
          <w:rPr>
            <w:rStyle w:val="InternetLink"/>
            <w:sz w:val="20"/>
            <w:szCs w:val="20"/>
            <w:lang w:val="en-US"/>
          </w:rPr>
          <w:t>https://www.clarin.eu/ccr/</w:t>
        </w:r>
      </w:hyperlink>
      <w:r w:rsidRPr="001E56D3">
        <w:rPr>
          <w:sz w:val="20"/>
          <w:szCs w:val="20"/>
          <w:lang w:val="en-US"/>
        </w:rPr>
        <w:t xml:space="preserve"> and</w:t>
      </w:r>
      <w:r>
        <w:rPr>
          <w:sz w:val="20"/>
          <w:szCs w:val="20"/>
          <w:lang w:val="en-US"/>
        </w:rPr>
        <w:t xml:space="preserve"> </w:t>
      </w:r>
      <w:hyperlink r:id="rId11" w:history="1">
        <w:r w:rsidRPr="00BC0430">
          <w:rPr>
            <w:rStyle w:val="Hyperlink"/>
            <w:sz w:val="20"/>
            <w:szCs w:val="20"/>
            <w:lang w:val="en-US"/>
          </w:rPr>
          <w:t>https://www.clarin.eu/conceptregistry</w:t>
        </w:r>
      </w:hyperlink>
      <w:r w:rsidRPr="001E56D3">
        <w:rPr>
          <w:sz w:val="20"/>
          <w:szCs w:val="20"/>
          <w:lang w:val="en-US"/>
        </w:rPr>
        <w:t xml:space="preserve"> </w:t>
      </w:r>
    </w:p>
  </w:footnote>
  <w:footnote w:id="11">
    <w:p w14:paraId="425F49DC" w14:textId="1A7F1CCA" w:rsidR="00E7689C" w:rsidRPr="00E7689C" w:rsidRDefault="00E7689C">
      <w:pPr>
        <w:pStyle w:val="FootnoteText"/>
        <w:rPr>
          <w:lang w:val="en-US"/>
        </w:rPr>
      </w:pPr>
      <w:r>
        <w:rPr>
          <w:rStyle w:val="FootnoteReference"/>
        </w:rPr>
        <w:footnoteRef/>
      </w:r>
      <w:r>
        <w:t xml:space="preserve"> </w:t>
      </w:r>
      <w:r>
        <w:tab/>
      </w:r>
      <w:r>
        <w:rPr>
          <w:lang w:val="en-US"/>
        </w:rPr>
        <w:t>See section 7 for the details on PID requirements.</w:t>
      </w:r>
    </w:p>
  </w:footnote>
  <w:footnote w:id="12">
    <w:p w14:paraId="133F18B1" w14:textId="1E3A5F5D" w:rsidR="003F52FC" w:rsidRPr="001E56D3" w:rsidRDefault="003F52FC">
      <w:pPr>
        <w:pStyle w:val="Footnote"/>
        <w:rPr>
          <w:sz w:val="20"/>
          <w:szCs w:val="20"/>
        </w:rPr>
      </w:pPr>
      <w:r>
        <w:rPr>
          <w:rStyle w:val="FootnoteReference"/>
        </w:rPr>
        <w:footnoteRef/>
      </w:r>
      <w:r>
        <w:rPr>
          <w:rStyle w:val="FootnoteReference"/>
        </w:rPr>
        <w:tab/>
      </w:r>
      <w:r>
        <w:t xml:space="preserve"> </w:t>
      </w:r>
      <w:r w:rsidRPr="001E56D3">
        <w:rPr>
          <w:sz w:val="20"/>
          <w:szCs w:val="20"/>
          <w:lang w:val="en-US"/>
        </w:rPr>
        <w:t xml:space="preserve">See </w:t>
      </w:r>
      <w:hyperlink r:id="rId12">
        <w:r w:rsidRPr="001E56D3">
          <w:rPr>
            <w:rStyle w:val="InternetLink"/>
            <w:sz w:val="20"/>
            <w:szCs w:val="20"/>
            <w:lang w:val="en-US"/>
          </w:rPr>
          <w:t>https://www.clarin.eu/faq/3453</w:t>
        </w:r>
      </w:hyperlink>
      <w:r w:rsidRPr="001E56D3">
        <w:rPr>
          <w:sz w:val="20"/>
          <w:szCs w:val="20"/>
          <w:lang w:val="en-US"/>
        </w:rPr>
        <w:t xml:space="preserve"> </w:t>
      </w:r>
    </w:p>
  </w:footnote>
  <w:footnote w:id="13">
    <w:p w14:paraId="76A2EB1B" w14:textId="4601198D" w:rsidR="003F52FC" w:rsidRPr="001E56D3" w:rsidRDefault="003F52FC">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A generic CMDI-to-HTML XSLT is available at</w:t>
      </w:r>
      <w:r w:rsidR="00922B56">
        <w:rPr>
          <w:sz w:val="20"/>
          <w:szCs w:val="20"/>
          <w:lang w:val="en-US"/>
        </w:rPr>
        <w:t xml:space="preserve"> </w:t>
      </w:r>
      <w:hyperlink r:id="rId13" w:history="1">
        <w:r w:rsidR="00922B56" w:rsidRPr="00C55B89">
          <w:rPr>
            <w:rStyle w:val="Hyperlink"/>
            <w:sz w:val="20"/>
            <w:szCs w:val="20"/>
            <w:lang w:val="en-US"/>
          </w:rPr>
          <w:t>https://infra.clarin.eu/cmd/xslt/cmdi2xhtml.xsl</w:t>
        </w:r>
      </w:hyperlink>
      <w:r w:rsidRPr="001E56D3">
        <w:rPr>
          <w:sz w:val="20"/>
          <w:szCs w:val="20"/>
          <w:lang w:val="en-US"/>
        </w:rPr>
        <w:t xml:space="preserve"> </w:t>
      </w:r>
    </w:p>
  </w:footnote>
  <w:footnote w:id="14">
    <w:p w14:paraId="63225C79" w14:textId="16CBDA0E" w:rsidR="003F52FC" w:rsidRPr="001E56D3" w:rsidRDefault="003F52FC">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See </w:t>
      </w:r>
      <w:hyperlink r:id="rId14">
        <w:r w:rsidRPr="001E56D3">
          <w:rPr>
            <w:rStyle w:val="InternetLink"/>
            <w:sz w:val="20"/>
            <w:szCs w:val="20"/>
            <w:lang w:val="en-US"/>
          </w:rPr>
          <w:t>https://www.clarin.eu/cmdi</w:t>
        </w:r>
      </w:hyperlink>
      <w:r w:rsidRPr="001E56D3">
        <w:rPr>
          <w:sz w:val="20"/>
          <w:szCs w:val="20"/>
          <w:lang w:val="en-US"/>
        </w:rPr>
        <w:t xml:space="preserve"> </w:t>
      </w:r>
    </w:p>
  </w:footnote>
  <w:footnote w:id="15">
    <w:p w14:paraId="38427CED" w14:textId="77777777" w:rsidR="003F52FC" w:rsidRDefault="003F52FC">
      <w:pPr>
        <w:pStyle w:val="Footnote"/>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The need for authentication to access an online file does </w:t>
      </w:r>
      <w:r w:rsidRPr="001E56D3">
        <w:rPr>
          <w:i/>
          <w:sz w:val="20"/>
          <w:szCs w:val="20"/>
          <w:lang w:val="en-US"/>
        </w:rPr>
        <w:t>not</w:t>
      </w:r>
      <w:r w:rsidRPr="001E56D3">
        <w:rPr>
          <w:sz w:val="20"/>
          <w:szCs w:val="20"/>
          <w:lang w:val="en-US"/>
        </w:rPr>
        <w:t xml:space="preserve"> influence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730"/>
    <w:multiLevelType w:val="multilevel"/>
    <w:tmpl w:val="B2BC83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552017"/>
    <w:multiLevelType w:val="multilevel"/>
    <w:tmpl w:val="A71C47B8"/>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2" w15:restartNumberingAfterBreak="0">
    <w:nsid w:val="0F5B583D"/>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D7B69"/>
    <w:multiLevelType w:val="multilevel"/>
    <w:tmpl w:val="90B6F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7331D2"/>
    <w:multiLevelType w:val="multilevel"/>
    <w:tmpl w:val="FB9651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ABF1181"/>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2269FE"/>
    <w:multiLevelType w:val="hybridMultilevel"/>
    <w:tmpl w:val="E910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A0DA6"/>
    <w:multiLevelType w:val="hybridMultilevel"/>
    <w:tmpl w:val="1280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D4338"/>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CD5E07"/>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AC6AA8"/>
    <w:multiLevelType w:val="multilevel"/>
    <w:tmpl w:val="07521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62D3944"/>
    <w:multiLevelType w:val="multilevel"/>
    <w:tmpl w:val="2C029DB2"/>
    <w:lvl w:ilvl="0">
      <w:start w:val="1"/>
      <w:numFmt w:val="decimal"/>
      <w:pStyle w:val="Heading2"/>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A191642"/>
    <w:multiLevelType w:val="multilevel"/>
    <w:tmpl w:val="28860CDE"/>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B101EDD"/>
    <w:multiLevelType w:val="multilevel"/>
    <w:tmpl w:val="94C0F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B5E3EC8"/>
    <w:multiLevelType w:val="hybridMultilevel"/>
    <w:tmpl w:val="7C484A00"/>
    <w:lvl w:ilvl="0" w:tplc="D1344ED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51AE3"/>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E6352D"/>
    <w:multiLevelType w:val="multilevel"/>
    <w:tmpl w:val="7FBCB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3"/>
  </w:num>
  <w:num w:numId="3">
    <w:abstractNumId w:val="12"/>
  </w:num>
  <w:num w:numId="4">
    <w:abstractNumId w:val="0"/>
  </w:num>
  <w:num w:numId="5">
    <w:abstractNumId w:val="4"/>
  </w:num>
  <w:num w:numId="6">
    <w:abstractNumId w:val="16"/>
  </w:num>
  <w:num w:numId="7">
    <w:abstractNumId w:val="1"/>
  </w:num>
  <w:num w:numId="8">
    <w:abstractNumId w:val="13"/>
  </w:num>
  <w:num w:numId="9">
    <w:abstractNumId w:val="10"/>
  </w:num>
  <w:num w:numId="10">
    <w:abstractNumId w:val="5"/>
  </w:num>
  <w:num w:numId="11">
    <w:abstractNumId w:val="2"/>
  </w:num>
  <w:num w:numId="12">
    <w:abstractNumId w:val="8"/>
  </w:num>
  <w:num w:numId="13">
    <w:abstractNumId w:val="15"/>
  </w:num>
  <w:num w:numId="14">
    <w:abstractNumId w:val="9"/>
  </w:num>
  <w:num w:numId="15">
    <w:abstractNumId w:val="7"/>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AC"/>
    <w:rsid w:val="00031052"/>
    <w:rsid w:val="00041F6D"/>
    <w:rsid w:val="00044730"/>
    <w:rsid w:val="00046DBB"/>
    <w:rsid w:val="00055BA6"/>
    <w:rsid w:val="00077C2F"/>
    <w:rsid w:val="00097482"/>
    <w:rsid w:val="000B61F4"/>
    <w:rsid w:val="0010079B"/>
    <w:rsid w:val="00117F19"/>
    <w:rsid w:val="00121952"/>
    <w:rsid w:val="00132B56"/>
    <w:rsid w:val="001673D1"/>
    <w:rsid w:val="001779D5"/>
    <w:rsid w:val="00190E31"/>
    <w:rsid w:val="00192504"/>
    <w:rsid w:val="001C4DAA"/>
    <w:rsid w:val="001E56D3"/>
    <w:rsid w:val="00203981"/>
    <w:rsid w:val="00213ACC"/>
    <w:rsid w:val="00221EF9"/>
    <w:rsid w:val="002238F0"/>
    <w:rsid w:val="0023193C"/>
    <w:rsid w:val="00236CA6"/>
    <w:rsid w:val="00237F7C"/>
    <w:rsid w:val="00250813"/>
    <w:rsid w:val="0026440C"/>
    <w:rsid w:val="00274C7C"/>
    <w:rsid w:val="002853D7"/>
    <w:rsid w:val="002944D1"/>
    <w:rsid w:val="00295EE4"/>
    <w:rsid w:val="00296344"/>
    <w:rsid w:val="00297BFF"/>
    <w:rsid w:val="002C1327"/>
    <w:rsid w:val="002C1717"/>
    <w:rsid w:val="002D5355"/>
    <w:rsid w:val="002F347F"/>
    <w:rsid w:val="00304587"/>
    <w:rsid w:val="00312E04"/>
    <w:rsid w:val="00314DF5"/>
    <w:rsid w:val="00317AC6"/>
    <w:rsid w:val="00323C06"/>
    <w:rsid w:val="003341C2"/>
    <w:rsid w:val="00347832"/>
    <w:rsid w:val="00381435"/>
    <w:rsid w:val="00391C3A"/>
    <w:rsid w:val="003B6292"/>
    <w:rsid w:val="003D0BD5"/>
    <w:rsid w:val="003F52FC"/>
    <w:rsid w:val="004007B3"/>
    <w:rsid w:val="004016EC"/>
    <w:rsid w:val="00402F39"/>
    <w:rsid w:val="0040469D"/>
    <w:rsid w:val="00404CA2"/>
    <w:rsid w:val="00426E69"/>
    <w:rsid w:val="004533C7"/>
    <w:rsid w:val="004631BC"/>
    <w:rsid w:val="00467205"/>
    <w:rsid w:val="004817C2"/>
    <w:rsid w:val="00481BA3"/>
    <w:rsid w:val="004951E6"/>
    <w:rsid w:val="004A053A"/>
    <w:rsid w:val="004A3AB0"/>
    <w:rsid w:val="004A583C"/>
    <w:rsid w:val="004B224C"/>
    <w:rsid w:val="004C6558"/>
    <w:rsid w:val="004D3BF7"/>
    <w:rsid w:val="00512BAE"/>
    <w:rsid w:val="00514DA2"/>
    <w:rsid w:val="0051709B"/>
    <w:rsid w:val="0052376F"/>
    <w:rsid w:val="005332F1"/>
    <w:rsid w:val="005422CD"/>
    <w:rsid w:val="0054380B"/>
    <w:rsid w:val="005709A6"/>
    <w:rsid w:val="00572446"/>
    <w:rsid w:val="0058576D"/>
    <w:rsid w:val="005A7BAD"/>
    <w:rsid w:val="005B38E2"/>
    <w:rsid w:val="005C3969"/>
    <w:rsid w:val="005D2D53"/>
    <w:rsid w:val="005F0674"/>
    <w:rsid w:val="005F0D52"/>
    <w:rsid w:val="005F2885"/>
    <w:rsid w:val="005F474A"/>
    <w:rsid w:val="00615E65"/>
    <w:rsid w:val="00632D62"/>
    <w:rsid w:val="006420B9"/>
    <w:rsid w:val="006934CD"/>
    <w:rsid w:val="006B4989"/>
    <w:rsid w:val="006B53A1"/>
    <w:rsid w:val="006B6F64"/>
    <w:rsid w:val="006D26A9"/>
    <w:rsid w:val="00700B07"/>
    <w:rsid w:val="007068A6"/>
    <w:rsid w:val="007072AB"/>
    <w:rsid w:val="0071300E"/>
    <w:rsid w:val="00762CF1"/>
    <w:rsid w:val="00772976"/>
    <w:rsid w:val="00775E75"/>
    <w:rsid w:val="007822E5"/>
    <w:rsid w:val="007826F7"/>
    <w:rsid w:val="0078535E"/>
    <w:rsid w:val="007A2D36"/>
    <w:rsid w:val="007B23DB"/>
    <w:rsid w:val="007B5952"/>
    <w:rsid w:val="007C57F9"/>
    <w:rsid w:val="007D2667"/>
    <w:rsid w:val="00821EE0"/>
    <w:rsid w:val="008448F5"/>
    <w:rsid w:val="00864BBE"/>
    <w:rsid w:val="00866D6D"/>
    <w:rsid w:val="00896976"/>
    <w:rsid w:val="008A3F95"/>
    <w:rsid w:val="008A6B3F"/>
    <w:rsid w:val="008C3835"/>
    <w:rsid w:val="008F1D4B"/>
    <w:rsid w:val="0091247D"/>
    <w:rsid w:val="00915B5C"/>
    <w:rsid w:val="00922B56"/>
    <w:rsid w:val="00923590"/>
    <w:rsid w:val="0092684A"/>
    <w:rsid w:val="00945751"/>
    <w:rsid w:val="00971CEF"/>
    <w:rsid w:val="0097512C"/>
    <w:rsid w:val="00977F3D"/>
    <w:rsid w:val="00984BAF"/>
    <w:rsid w:val="009C0AE6"/>
    <w:rsid w:val="009C1022"/>
    <w:rsid w:val="009E5F96"/>
    <w:rsid w:val="00A14215"/>
    <w:rsid w:val="00A17A85"/>
    <w:rsid w:val="00A41C53"/>
    <w:rsid w:val="00A84F30"/>
    <w:rsid w:val="00A9055D"/>
    <w:rsid w:val="00A91B91"/>
    <w:rsid w:val="00A91E13"/>
    <w:rsid w:val="00AC2DD9"/>
    <w:rsid w:val="00AC5372"/>
    <w:rsid w:val="00B00150"/>
    <w:rsid w:val="00B1522D"/>
    <w:rsid w:val="00B364A5"/>
    <w:rsid w:val="00B50ACB"/>
    <w:rsid w:val="00B632AD"/>
    <w:rsid w:val="00B77ECA"/>
    <w:rsid w:val="00B90E95"/>
    <w:rsid w:val="00BA1635"/>
    <w:rsid w:val="00BB79EB"/>
    <w:rsid w:val="00BC3638"/>
    <w:rsid w:val="00BC7863"/>
    <w:rsid w:val="00BD1DAD"/>
    <w:rsid w:val="00BE3F81"/>
    <w:rsid w:val="00BF2B06"/>
    <w:rsid w:val="00C07687"/>
    <w:rsid w:val="00C11E2B"/>
    <w:rsid w:val="00C21935"/>
    <w:rsid w:val="00C41615"/>
    <w:rsid w:val="00C51EF4"/>
    <w:rsid w:val="00C70B3C"/>
    <w:rsid w:val="00C835E1"/>
    <w:rsid w:val="00C903C9"/>
    <w:rsid w:val="00C95B9E"/>
    <w:rsid w:val="00CA5A81"/>
    <w:rsid w:val="00CE2375"/>
    <w:rsid w:val="00CF0E43"/>
    <w:rsid w:val="00D03A06"/>
    <w:rsid w:val="00D14854"/>
    <w:rsid w:val="00D168FC"/>
    <w:rsid w:val="00D173D6"/>
    <w:rsid w:val="00D26B27"/>
    <w:rsid w:val="00D76A16"/>
    <w:rsid w:val="00D805CF"/>
    <w:rsid w:val="00D92E56"/>
    <w:rsid w:val="00DA047A"/>
    <w:rsid w:val="00DC7848"/>
    <w:rsid w:val="00DE4DC3"/>
    <w:rsid w:val="00DF7411"/>
    <w:rsid w:val="00E4676E"/>
    <w:rsid w:val="00E47085"/>
    <w:rsid w:val="00E51FED"/>
    <w:rsid w:val="00E55D62"/>
    <w:rsid w:val="00E74357"/>
    <w:rsid w:val="00E7689C"/>
    <w:rsid w:val="00E85641"/>
    <w:rsid w:val="00EA5C4B"/>
    <w:rsid w:val="00EB24BB"/>
    <w:rsid w:val="00EC687F"/>
    <w:rsid w:val="00ED0028"/>
    <w:rsid w:val="00F0605A"/>
    <w:rsid w:val="00F20430"/>
    <w:rsid w:val="00F418DD"/>
    <w:rsid w:val="00F618DB"/>
    <w:rsid w:val="00F64854"/>
    <w:rsid w:val="00F739CD"/>
    <w:rsid w:val="00F92A17"/>
    <w:rsid w:val="00F94FD0"/>
    <w:rsid w:val="00FB1392"/>
    <w:rsid w:val="00FB6D0E"/>
    <w:rsid w:val="00FB7251"/>
    <w:rsid w:val="00FD64AC"/>
    <w:rsid w:val="00FE255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96A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9D1"/>
    <w:pPr>
      <w:suppressAutoHyphens/>
    </w:pPr>
    <w:rPr>
      <w:rFonts w:eastAsia="Times New Roman" w:cs="Times New Roman"/>
      <w:sz w:val="22"/>
      <w:lang w:val="en-GB" w:eastAsia="de-DE"/>
    </w:rPr>
  </w:style>
  <w:style w:type="paragraph" w:styleId="Heading1">
    <w:name w:val="heading 1"/>
    <w:basedOn w:val="Heading"/>
    <w:qFormat/>
    <w:pPr>
      <w:outlineLvl w:val="0"/>
    </w:pPr>
  </w:style>
  <w:style w:type="paragraph" w:styleId="Heading2">
    <w:name w:val="heading 2"/>
    <w:basedOn w:val="Normal"/>
    <w:next w:val="Normal"/>
    <w:link w:val="Heading2Char"/>
    <w:uiPriority w:val="9"/>
    <w:unhideWhenUsed/>
    <w:qFormat/>
    <w:rsid w:val="002149D1"/>
    <w:pPr>
      <w:keepNext/>
      <w:keepLines/>
      <w:numPr>
        <w:numId w:val="1"/>
      </w:numPr>
      <w:spacing w:before="200"/>
      <w:ind w:left="36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qFormat/>
    <w:rsid w:val="002149D1"/>
    <w:rPr>
      <w:rFonts w:ascii="Times New Roman" w:eastAsia="Times New Roman" w:hAnsi="Times New Roman" w:cs="Times New Roman"/>
      <w:sz w:val="20"/>
      <w:szCs w:val="20"/>
      <w:lang w:val="en-GB" w:eastAsia="fr-BE"/>
    </w:rPr>
  </w:style>
  <w:style w:type="character" w:styleId="FootnoteReference">
    <w:name w:val="footnote reference"/>
    <w:basedOn w:val="DefaultParagraphFont"/>
    <w:uiPriority w:val="99"/>
    <w:qFormat/>
    <w:rsid w:val="002149D1"/>
    <w:rPr>
      <w:rFonts w:cs="Times New Roman"/>
      <w:vertAlign w:val="superscript"/>
    </w:rPr>
  </w:style>
  <w:style w:type="character" w:customStyle="1" w:styleId="InternetLink">
    <w:name w:val="Internet Link"/>
    <w:basedOn w:val="DefaultParagraphFont"/>
    <w:uiPriority w:val="99"/>
    <w:unhideWhenUsed/>
    <w:rsid w:val="002149D1"/>
    <w:rPr>
      <w:color w:val="0000FF" w:themeColor="hyperlink"/>
      <w:u w:val="single"/>
    </w:rPr>
  </w:style>
  <w:style w:type="character" w:customStyle="1" w:styleId="BalloonTextChar">
    <w:name w:val="Balloon Text Char"/>
    <w:basedOn w:val="DefaultParagraphFont"/>
    <w:link w:val="BalloonText"/>
    <w:uiPriority w:val="99"/>
    <w:semiHidden/>
    <w:qFormat/>
    <w:rsid w:val="002149D1"/>
    <w:rPr>
      <w:rFonts w:ascii="Lucida Grande" w:eastAsia="Times New Roman" w:hAnsi="Lucida Grande" w:cs="Lucida Grande"/>
      <w:sz w:val="18"/>
      <w:szCs w:val="18"/>
      <w:lang w:val="en-GB" w:eastAsia="de-DE"/>
    </w:rPr>
  </w:style>
  <w:style w:type="character" w:customStyle="1" w:styleId="Heading2Char">
    <w:name w:val="Heading 2 Char"/>
    <w:basedOn w:val="DefaultParagraphFont"/>
    <w:link w:val="Heading2"/>
    <w:uiPriority w:val="9"/>
    <w:qFormat/>
    <w:rsid w:val="002149D1"/>
    <w:rPr>
      <w:rFonts w:asciiTheme="majorHAnsi" w:eastAsiaTheme="majorEastAsia" w:hAnsiTheme="majorHAnsi" w:cstheme="majorBidi"/>
      <w:b/>
      <w:bCs/>
      <w:color w:val="4F81BD" w:themeColor="accent1"/>
      <w:sz w:val="26"/>
      <w:szCs w:val="26"/>
      <w:lang w:val="en-GB" w:eastAsia="de-DE"/>
    </w:rPr>
  </w:style>
  <w:style w:type="character" w:customStyle="1" w:styleId="FooterChar">
    <w:name w:val="Footer Char"/>
    <w:basedOn w:val="DefaultParagraphFont"/>
    <w:link w:val="Footer"/>
    <w:uiPriority w:val="99"/>
    <w:qFormat/>
    <w:rsid w:val="002149D1"/>
    <w:rPr>
      <w:rFonts w:eastAsia="Times New Roman" w:cs="Times New Roman"/>
      <w:sz w:val="22"/>
      <w:lang w:val="en-GB" w:eastAsia="de-DE"/>
    </w:rPr>
  </w:style>
  <w:style w:type="character" w:styleId="PageNumber">
    <w:name w:val="page number"/>
    <w:basedOn w:val="DefaultParagraphFont"/>
    <w:uiPriority w:val="99"/>
    <w:semiHidden/>
    <w:unhideWhenUsed/>
    <w:qFormat/>
    <w:rsid w:val="002149D1"/>
  </w:style>
  <w:style w:type="character" w:styleId="FollowedHyperlink">
    <w:name w:val="FollowedHyperlink"/>
    <w:basedOn w:val="DefaultParagraphFont"/>
    <w:uiPriority w:val="99"/>
    <w:semiHidden/>
    <w:unhideWhenUsed/>
    <w:qFormat/>
    <w:rsid w:val="009E4DBF"/>
    <w:rPr>
      <w:color w:val="800080" w:themeColor="followedHyperlink"/>
      <w:u w:val="single"/>
    </w:rPr>
  </w:style>
  <w:style w:type="character" w:customStyle="1" w:styleId="BrdtekstTegn">
    <w:name w:val="Brødtekst Tegn"/>
    <w:basedOn w:val="DefaultParagraphFont"/>
    <w:link w:val="TextBody"/>
    <w:qFormat/>
    <w:rsid w:val="003E2D39"/>
    <w:rPr>
      <w:rFonts w:ascii="Cambria" w:eastAsia="Times New Roman" w:hAnsi="Cambria" w:cs="Cambria"/>
      <w:sz w:val="22"/>
      <w:lang w:val="en-GB" w:eastAsia="de-DE"/>
    </w:rPr>
  </w:style>
  <w:style w:type="character" w:customStyle="1" w:styleId="FootnoteTextChar1">
    <w:name w:val="Footnote Text Char1"/>
    <w:uiPriority w:val="99"/>
    <w:qFormat/>
    <w:rsid w:val="003E2D39"/>
    <w:rPr>
      <w:rFonts w:ascii="Cambria" w:hAnsi="Cambria" w:cs="Cambria"/>
      <w:sz w:val="24"/>
      <w:szCs w:val="24"/>
      <w:lang w:val="en-GB" w:eastAsia="de-DE"/>
    </w:rPr>
  </w:style>
  <w:style w:type="character" w:customStyle="1" w:styleId="Heading3Char">
    <w:name w:val="Heading 3 Char"/>
    <w:basedOn w:val="DefaultParagraphFont"/>
    <w:link w:val="Heading3"/>
    <w:uiPriority w:val="9"/>
    <w:qFormat/>
    <w:rsid w:val="007E1D36"/>
    <w:rPr>
      <w:rFonts w:asciiTheme="majorHAnsi" w:eastAsiaTheme="majorEastAsia" w:hAnsiTheme="majorHAnsi" w:cstheme="majorBidi"/>
      <w:b/>
      <w:bCs/>
      <w:color w:val="4F81BD" w:themeColor="accent1"/>
      <w:sz w:val="22"/>
      <w:lang w:val="en-GB" w:eastAsia="de-DE"/>
    </w:rPr>
  </w:style>
  <w:style w:type="character" w:styleId="CommentReference">
    <w:name w:val="annotation reference"/>
    <w:basedOn w:val="DefaultParagraphFont"/>
    <w:uiPriority w:val="99"/>
    <w:semiHidden/>
    <w:unhideWhenUsed/>
    <w:qFormat/>
    <w:rsid w:val="00246377"/>
    <w:rPr>
      <w:sz w:val="16"/>
      <w:szCs w:val="16"/>
    </w:rPr>
  </w:style>
  <w:style w:type="character" w:customStyle="1" w:styleId="CommentTextChar">
    <w:name w:val="Comment Text Char"/>
    <w:basedOn w:val="DefaultParagraphFont"/>
    <w:link w:val="CommentText"/>
    <w:uiPriority w:val="99"/>
    <w:semiHidden/>
    <w:qFormat/>
    <w:rsid w:val="00246377"/>
    <w:rPr>
      <w:rFonts w:eastAsia="Times New Roman" w:cs="Times New Roman"/>
      <w:sz w:val="20"/>
      <w:szCs w:val="20"/>
      <w:lang w:val="en-GB" w:eastAsia="de-DE"/>
    </w:rPr>
  </w:style>
  <w:style w:type="character" w:customStyle="1" w:styleId="CommentSubjectChar">
    <w:name w:val="Comment Subject Char"/>
    <w:basedOn w:val="CommentTextChar"/>
    <w:link w:val="CommentSubject"/>
    <w:uiPriority w:val="99"/>
    <w:semiHidden/>
    <w:qFormat/>
    <w:rsid w:val="00246377"/>
    <w:rPr>
      <w:rFonts w:eastAsia="Times New Roman" w:cs="Times New Roman"/>
      <w:b/>
      <w:bCs/>
      <w:sz w:val="20"/>
      <w:szCs w:val="20"/>
      <w:lang w:val="en-GB" w:eastAsia="de-DE"/>
    </w:rPr>
  </w:style>
  <w:style w:type="character" w:customStyle="1" w:styleId="ListLabel1">
    <w:name w:val="ListLabel 1"/>
    <w:qFormat/>
    <w:rPr>
      <w:rFonts w:eastAsia="Times New Roman"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rdtekstTegn"/>
    <w:rsid w:val="003E2D39"/>
    <w:pPr>
      <w:spacing w:after="120"/>
    </w:pPr>
    <w:rPr>
      <w:rFonts w:ascii="Cambria" w:hAnsi="Cambria" w:cs="Cambria"/>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styleId="FootnoteText">
    <w:name w:val="footnote text"/>
    <w:basedOn w:val="Normal"/>
    <w:link w:val="FootnoteTextChar"/>
    <w:uiPriority w:val="99"/>
    <w:qFormat/>
    <w:rsid w:val="002149D1"/>
    <w:pPr>
      <w:jc w:val="both"/>
    </w:pPr>
    <w:rPr>
      <w:sz w:val="20"/>
      <w:szCs w:val="20"/>
      <w:lang w:eastAsia="fr-BE"/>
    </w:rPr>
  </w:style>
  <w:style w:type="paragraph" w:styleId="ListParagraph">
    <w:name w:val="List Paragraph"/>
    <w:basedOn w:val="Normal"/>
    <w:qFormat/>
    <w:rsid w:val="002149D1"/>
    <w:pPr>
      <w:ind w:left="720"/>
      <w:contextualSpacing/>
    </w:pPr>
    <w:rPr>
      <w:lang w:val="en-US" w:eastAsia="en-US"/>
    </w:rPr>
  </w:style>
  <w:style w:type="paragraph" w:styleId="BalloonText">
    <w:name w:val="Balloon Text"/>
    <w:basedOn w:val="Normal"/>
    <w:link w:val="BalloonTextChar"/>
    <w:uiPriority w:val="99"/>
    <w:semiHidden/>
    <w:unhideWhenUsed/>
    <w:qFormat/>
    <w:rsid w:val="002149D1"/>
    <w:rPr>
      <w:rFonts w:ascii="Lucida Grande" w:hAnsi="Lucida Grande" w:cs="Lucida Grande"/>
      <w:sz w:val="18"/>
      <w:szCs w:val="18"/>
    </w:rPr>
  </w:style>
  <w:style w:type="paragraph" w:styleId="Footer">
    <w:name w:val="footer"/>
    <w:basedOn w:val="Normal"/>
    <w:link w:val="FooterChar"/>
    <w:uiPriority w:val="99"/>
    <w:unhideWhenUsed/>
    <w:rsid w:val="002149D1"/>
    <w:pPr>
      <w:tabs>
        <w:tab w:val="center" w:pos="4320"/>
        <w:tab w:val="right" w:pos="8640"/>
      </w:tabs>
    </w:pPr>
  </w:style>
  <w:style w:type="paragraph" w:styleId="CommentText">
    <w:name w:val="annotation text"/>
    <w:basedOn w:val="Normal"/>
    <w:link w:val="CommentTextChar"/>
    <w:uiPriority w:val="99"/>
    <w:semiHidden/>
    <w:unhideWhenUsed/>
    <w:qFormat/>
    <w:rsid w:val="00246377"/>
    <w:rPr>
      <w:sz w:val="20"/>
      <w:szCs w:val="20"/>
    </w:rPr>
  </w:style>
  <w:style w:type="paragraph" w:styleId="CommentSubject">
    <w:name w:val="annotation subject"/>
    <w:basedOn w:val="CommentText"/>
    <w:link w:val="CommentSubjectChar"/>
    <w:uiPriority w:val="99"/>
    <w:semiHidden/>
    <w:unhideWhenUsed/>
    <w:qFormat/>
    <w:rsid w:val="00246377"/>
    <w:rPr>
      <w:b/>
      <w:bCs/>
    </w:rPr>
  </w:style>
  <w:style w:type="paragraph" w:customStyle="1" w:styleId="Footnote">
    <w:name w:val="Footnote"/>
    <w:basedOn w:val="Normal"/>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91247D"/>
    <w:rPr>
      <w:color w:val="0000FF" w:themeColor="hyperlink"/>
      <w:u w:val="single"/>
    </w:rPr>
  </w:style>
  <w:style w:type="paragraph" w:styleId="Revision">
    <w:name w:val="Revision"/>
    <w:hidden/>
    <w:uiPriority w:val="99"/>
    <w:semiHidden/>
    <w:rsid w:val="00572446"/>
    <w:rPr>
      <w:rFonts w:eastAsia="Times New Roman" w:cs="Times New Roman"/>
      <w:sz w:val="22"/>
      <w:lang w:val="en-GB" w:eastAsia="de-DE"/>
    </w:rPr>
  </w:style>
  <w:style w:type="paragraph" w:styleId="Header">
    <w:name w:val="header"/>
    <w:basedOn w:val="Normal"/>
    <w:link w:val="HeaderChar"/>
    <w:uiPriority w:val="99"/>
    <w:unhideWhenUsed/>
    <w:rsid w:val="0052376F"/>
    <w:pPr>
      <w:tabs>
        <w:tab w:val="center" w:pos="4680"/>
        <w:tab w:val="right" w:pos="9360"/>
      </w:tabs>
    </w:pPr>
  </w:style>
  <w:style w:type="character" w:customStyle="1" w:styleId="HeaderChar">
    <w:name w:val="Header Char"/>
    <w:basedOn w:val="DefaultParagraphFont"/>
    <w:link w:val="Header"/>
    <w:uiPriority w:val="99"/>
    <w:rsid w:val="0052376F"/>
    <w:rPr>
      <w:rFonts w:eastAsia="Times New Roman" w:cs="Times New Roman"/>
      <w:sz w:val="22"/>
      <w:lang w:val="en-GB" w:eastAsia="de-DE"/>
    </w:rPr>
  </w:style>
  <w:style w:type="character" w:customStyle="1" w:styleId="UnresolvedMention1">
    <w:name w:val="Unresolved Mention1"/>
    <w:basedOn w:val="DefaultParagraphFont"/>
    <w:uiPriority w:val="99"/>
    <w:semiHidden/>
    <w:unhideWhenUsed/>
    <w:rsid w:val="002944D1"/>
    <w:rPr>
      <w:color w:val="605E5C"/>
      <w:shd w:val="clear" w:color="auto" w:fill="E1DFDD"/>
    </w:rPr>
  </w:style>
  <w:style w:type="character" w:styleId="UnresolvedMention">
    <w:name w:val="Unresolved Mention"/>
    <w:basedOn w:val="DefaultParagraphFont"/>
    <w:uiPriority w:val="99"/>
    <w:semiHidden/>
    <w:unhideWhenUsed/>
    <w:rsid w:val="00866D6D"/>
    <w:rPr>
      <w:color w:val="605E5C"/>
      <w:shd w:val="clear" w:color="auto" w:fill="E1DFDD"/>
    </w:rPr>
  </w:style>
  <w:style w:type="table" w:styleId="TableGrid">
    <w:name w:val="Table Grid"/>
    <w:basedOn w:val="TableNormal"/>
    <w:uiPriority w:val="59"/>
    <w:rsid w:val="00B7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4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ser.clarin.eu/user/register" TargetMode="External"/><Relationship Id="rId18" Type="http://schemas.openxmlformats.org/officeDocument/2006/relationships/hyperlink" Target="https://www.ssllabs.com/ssltest/" TargetMode="External"/><Relationship Id="rId26" Type="http://schemas.openxmlformats.org/officeDocument/2006/relationships/hyperlink" Target="https://www.clarin.eu/cmdi" TargetMode="External"/><Relationship Id="rId39" Type="http://schemas.openxmlformats.org/officeDocument/2006/relationships/footer" Target="footer1.xml"/><Relationship Id="rId21" Type="http://schemas.openxmlformats.org/officeDocument/2006/relationships/hyperlink" Target="https://refeds.terena.org/index.php/Federations" TargetMode="External"/><Relationship Id="rId34" Type="http://schemas.openxmlformats.org/officeDocument/2006/relationships/hyperlink" Target="https://curate.acdh.oeaw.ac.at/collection/tab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nitor.edugain.org/" TargetMode="External"/><Relationship Id="rId20" Type="http://schemas.openxmlformats.org/officeDocument/2006/relationships/hyperlink" Target="https://www.clarin.eu/page/3537" TargetMode="External"/><Relationship Id="rId29" Type="http://schemas.openxmlformats.org/officeDocument/2006/relationships/hyperlink" Target="https://clarin.eu/oaivalidato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rin.eu/content/clarin-identity-provider" TargetMode="External"/><Relationship Id="rId24" Type="http://schemas.openxmlformats.org/officeDocument/2006/relationships/hyperlink" Target="https://www.clarin.eu/spf" TargetMode="External"/><Relationship Id="rId32" Type="http://schemas.openxmlformats.org/officeDocument/2006/relationships/hyperlink" Target="https://curate.acdh.oeaw.ac.at/collection/table" TargetMode="External"/><Relationship Id="rId37" Type="http://schemas.openxmlformats.org/officeDocument/2006/relationships/hyperlink" Target="https://www.clarin.eu/fc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entres.clarin.eu/" TargetMode="External"/><Relationship Id="rId23" Type="http://schemas.openxmlformats.org/officeDocument/2006/relationships/hyperlink" Target="https://www.clarin.eu/spf" TargetMode="External"/><Relationship Id="rId28" Type="http://schemas.openxmlformats.org/officeDocument/2006/relationships/hyperlink" Target="https://vlo.clarin.eu/data/" TargetMode="External"/><Relationship Id="rId36" Type="http://schemas.openxmlformats.org/officeDocument/2006/relationships/hyperlink" Target="https://clarin.eu/cmd-core" TargetMode="External"/><Relationship Id="rId10" Type="http://schemas.openxmlformats.org/officeDocument/2006/relationships/hyperlink" Target="https://www.clarin.eu/content/federated-identity" TargetMode="External"/><Relationship Id="rId19" Type="http://schemas.openxmlformats.org/officeDocument/2006/relationships/hyperlink" Target="https://github.com/ufal/clarin-sp-aaggregator" TargetMode="External"/><Relationship Id="rId31" Type="http://schemas.openxmlformats.org/officeDocument/2006/relationships/hyperlink" Target="mailto:cmdi@clarin.eu" TargetMode="External"/><Relationship Id="rId4" Type="http://schemas.openxmlformats.org/officeDocument/2006/relationships/settings" Target="settings.xml"/><Relationship Id="rId9" Type="http://schemas.openxmlformats.org/officeDocument/2006/relationships/hyperlink" Target="https://www.coretrustseal.org" TargetMode="External"/><Relationship Id="rId14" Type="http://schemas.openxmlformats.org/officeDocument/2006/relationships/hyperlink" Target="https://www.clarin.eu/webform/registration-form-centre-registry" TargetMode="External"/><Relationship Id="rId22" Type="http://schemas.openxmlformats.org/officeDocument/2006/relationships/hyperlink" Target="https://www.clarin.eu/page/3398" TargetMode="External"/><Relationship Id="rId27" Type="http://schemas.openxmlformats.org/officeDocument/2006/relationships/hyperlink" Target="https://vlo.clarin.eu/data/" TargetMode="External"/><Relationship Id="rId30" Type="http://schemas.openxmlformats.org/officeDocument/2006/relationships/hyperlink" Target="https://www.clarin.eu/cmdi" TargetMode="External"/><Relationship Id="rId35" Type="http://schemas.openxmlformats.org/officeDocument/2006/relationships/hyperlink" Target="https://curate.acdh.oeaw.ac.at/collection/tabl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larin.eu/content/service-provider-federation" TargetMode="External"/><Relationship Id="rId17" Type="http://schemas.openxmlformats.org/officeDocument/2006/relationships/hyperlink" Target="mailto:dpcoc@clarin.eu" TargetMode="External"/><Relationship Id="rId25" Type="http://schemas.openxmlformats.org/officeDocument/2006/relationships/hyperlink" Target="https://centres.clarin.eu/spf" TargetMode="External"/><Relationship Id="rId33" Type="http://schemas.openxmlformats.org/officeDocument/2006/relationships/hyperlink" Target="https://clarin.eu/componentregistry" TargetMode="External"/><Relationship Id="rId38" Type="http://schemas.openxmlformats.org/officeDocument/2006/relationships/hyperlink" Target="https://www.clarin.eu/fcsvalidato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mozilla.org/CA/Included_Certificates" TargetMode="External"/><Relationship Id="rId13" Type="http://schemas.openxmlformats.org/officeDocument/2006/relationships/hyperlink" Target="https://infra.clarin.eu/cmd/xslt/cmdi2xhtml.xsl" TargetMode="External"/><Relationship Id="rId3" Type="http://schemas.openxmlformats.org/officeDocument/2006/relationships/hyperlink" Target="https://www.clarin.eu/node/3767" TargetMode="External"/><Relationship Id="rId7" Type="http://schemas.openxmlformats.org/officeDocument/2006/relationships/hyperlink" Target="https://www.clarin.eu/node/3910" TargetMode="External"/><Relationship Id="rId12" Type="http://schemas.openxmlformats.org/officeDocument/2006/relationships/hyperlink" Target="https://www.clarin.eu/faq/3453" TargetMode="External"/><Relationship Id="rId2" Type="http://schemas.openxmlformats.org/officeDocument/2006/relationships/hyperlink" Target="https://www.clarin.eu/content/clarin-eric-statutes" TargetMode="External"/><Relationship Id="rId1" Type="http://schemas.openxmlformats.org/officeDocument/2006/relationships/hyperlink" Target="https://www.clarin.eu/cmdi" TargetMode="External"/><Relationship Id="rId6" Type="http://schemas.openxmlformats.org/officeDocument/2006/relationships/hyperlink" Target="http://www.csc.fi/english/research/sciences/linguistics/lat-privacypolicy" TargetMode="External"/><Relationship Id="rId11" Type="http://schemas.openxmlformats.org/officeDocument/2006/relationships/hyperlink" Target="https://www.clarin.eu/conceptregistry" TargetMode="External"/><Relationship Id="rId5" Type="http://schemas.openxmlformats.org/officeDocument/2006/relationships/hyperlink" Target="http://hdl.handle.net/11113/00-0000-0000-0000-19BA-5@view" TargetMode="External"/><Relationship Id="rId10" Type="http://schemas.openxmlformats.org/officeDocument/2006/relationships/hyperlink" Target="https://www.clarin.eu/ccr/" TargetMode="External"/><Relationship Id="rId4" Type="http://schemas.openxmlformats.org/officeDocument/2006/relationships/hyperlink" Target="https://tla.mpi.nl/resources/access-permissions/" TargetMode="External"/><Relationship Id="rId9" Type="http://schemas.openxmlformats.org/officeDocument/2006/relationships/hyperlink" Target="https://lindat.mff.cuni.cz/services/aaggreg" TargetMode="External"/><Relationship Id="rId14" Type="http://schemas.openxmlformats.org/officeDocument/2006/relationships/hyperlink" Target="https://www.clarin.eu/cm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42D6-D551-F74C-B09F-AE266F62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3314</Words>
  <Characters>18890</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CLARIN ERIC</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Uytvanck</dc:creator>
  <cp:lastModifiedBy>Dieter Van Uytvanck</cp:lastModifiedBy>
  <cp:revision>4</cp:revision>
  <cp:lastPrinted>2019-10-01T07:10:00Z</cp:lastPrinted>
  <dcterms:created xsi:type="dcterms:W3CDTF">2019-10-01T07:10:00Z</dcterms:created>
  <dcterms:modified xsi:type="dcterms:W3CDTF">2019-10-01T07:12:00Z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CLARIN ERIC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Remapped">
    <vt:lpwstr>true</vt:lpwstr>
  </property>
</Properties>
</file>